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013" w:rsidRPr="00662CE6" w:rsidRDefault="00D07FFD" w:rsidP="009F3279">
      <w:pPr>
        <w:jc w:val="both"/>
        <w:rPr>
          <w:rFonts w:ascii="Times New Roman" w:hAnsi="Times New Roman"/>
          <w:b/>
          <w:sz w:val="8"/>
          <w:lang w:val="nl-NL"/>
        </w:rPr>
      </w:pPr>
      <w:r w:rsidRPr="00662CE6">
        <w:rPr>
          <w:rFonts w:ascii="Times New Roman" w:hAnsi="Times New Roman"/>
          <w:b/>
          <w:sz w:val="8"/>
          <w:lang w:val="nl-NL"/>
        </w:rPr>
        <w:t xml:space="preserve"> </w:t>
      </w:r>
    </w:p>
    <w:p w:rsidR="00C65785" w:rsidRPr="00662CE6" w:rsidRDefault="00C65785" w:rsidP="00D47D72">
      <w:pPr>
        <w:spacing w:line="295" w:lineRule="auto"/>
        <w:jc w:val="center"/>
        <w:rPr>
          <w:rFonts w:ascii="Times New Roman" w:hAnsi="Times New Roman"/>
          <w:b/>
          <w:szCs w:val="28"/>
          <w:lang w:val="nl-NL"/>
        </w:rPr>
      </w:pPr>
    </w:p>
    <w:tbl>
      <w:tblPr>
        <w:tblW w:w="15228" w:type="dxa"/>
        <w:tblInd w:w="-176" w:type="dxa"/>
        <w:tblLayout w:type="fixed"/>
        <w:tblLook w:val="0000" w:firstRow="0" w:lastRow="0" w:firstColumn="0" w:lastColumn="0" w:noHBand="0" w:noVBand="0"/>
      </w:tblPr>
      <w:tblGrid>
        <w:gridCol w:w="6137"/>
        <w:gridCol w:w="9091"/>
      </w:tblGrid>
      <w:tr w:rsidR="00446B94" w:rsidRPr="00662CE6" w:rsidTr="006610BC">
        <w:tblPrEx>
          <w:tblCellMar>
            <w:top w:w="0" w:type="dxa"/>
            <w:bottom w:w="0" w:type="dxa"/>
          </w:tblCellMar>
        </w:tblPrEx>
        <w:trPr>
          <w:trHeight w:val="1382"/>
        </w:trPr>
        <w:tc>
          <w:tcPr>
            <w:tcW w:w="6137" w:type="dxa"/>
          </w:tcPr>
          <w:p w:rsidR="00446B94" w:rsidRPr="00662CE6" w:rsidRDefault="00446B94" w:rsidP="006610BC">
            <w:pPr>
              <w:jc w:val="center"/>
              <w:rPr>
                <w:rFonts w:ascii="Times New Roman" w:hAnsi="Times New Roman"/>
                <w:sz w:val="26"/>
                <w:lang w:val="nl-NL"/>
              </w:rPr>
            </w:pPr>
            <w:r w:rsidRPr="00662CE6">
              <w:rPr>
                <w:rFonts w:ascii="Times New Roman" w:hAnsi="Times New Roman"/>
                <w:b/>
                <w:lang w:val="nl-NL"/>
              </w:rPr>
              <w:t xml:space="preserve">  </w:t>
            </w:r>
            <w:r w:rsidRPr="00662CE6">
              <w:rPr>
                <w:rFonts w:ascii="Times New Roman" w:hAnsi="Times New Roman"/>
                <w:sz w:val="26"/>
                <w:lang w:val="nl-NL"/>
              </w:rPr>
              <w:t>UBND TỈNH HÀ TĨNH</w:t>
            </w:r>
          </w:p>
          <w:p w:rsidR="00446B94" w:rsidRPr="00662CE6" w:rsidRDefault="002C7D1E" w:rsidP="006610BC">
            <w:pPr>
              <w:jc w:val="center"/>
              <w:rPr>
                <w:rFonts w:ascii="Times New Roman" w:hAnsi="Times New Roman"/>
                <w:b/>
                <w:sz w:val="26"/>
                <w:lang w:val="nl-NL"/>
              </w:rPr>
            </w:pPr>
            <w:r w:rsidRPr="00662CE6">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1CB51098" wp14:editId="694A63DE">
                      <wp:simplePos x="0" y="0"/>
                      <wp:positionH relativeFrom="column">
                        <wp:posOffset>1311275</wp:posOffset>
                      </wp:positionH>
                      <wp:positionV relativeFrom="paragraph">
                        <wp:posOffset>180975</wp:posOffset>
                      </wp:positionV>
                      <wp:extent cx="111506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5pt,14.25pt" to="191.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O3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"/>
                  </w:pict>
                </mc:Fallback>
              </mc:AlternateContent>
            </w:r>
            <w:r w:rsidR="00446B94" w:rsidRPr="00662CE6">
              <w:rPr>
                <w:rFonts w:ascii="Times New Roman" w:hAnsi="Times New Roman"/>
                <w:b/>
                <w:sz w:val="26"/>
                <w:lang w:val="nl-NL"/>
              </w:rPr>
              <w:t>SỞ XÂY DỰNG</w:t>
            </w:r>
          </w:p>
          <w:p w:rsidR="00446B94" w:rsidRPr="00662CE6" w:rsidRDefault="00446B94" w:rsidP="006610BC">
            <w:pPr>
              <w:jc w:val="center"/>
              <w:rPr>
                <w:rFonts w:ascii="Times New Roman" w:hAnsi="Times New Roman"/>
                <w:sz w:val="26"/>
                <w:szCs w:val="26"/>
                <w:lang w:val="nl-NL"/>
              </w:rPr>
            </w:pPr>
          </w:p>
          <w:p w:rsidR="00446B94" w:rsidRPr="00662CE6" w:rsidRDefault="00446B94" w:rsidP="006610BC">
            <w:pPr>
              <w:jc w:val="center"/>
              <w:rPr>
                <w:rFonts w:ascii="Times New Roman" w:hAnsi="Times New Roman"/>
                <w:sz w:val="24"/>
                <w:szCs w:val="24"/>
                <w:lang w:val="nl-NL"/>
              </w:rPr>
            </w:pPr>
          </w:p>
        </w:tc>
        <w:tc>
          <w:tcPr>
            <w:tcW w:w="9091" w:type="dxa"/>
          </w:tcPr>
          <w:p w:rsidR="00446B94" w:rsidRPr="00662CE6" w:rsidRDefault="00446B94" w:rsidP="006610BC">
            <w:pPr>
              <w:jc w:val="center"/>
              <w:rPr>
                <w:rFonts w:ascii="Times New Roman" w:hAnsi="Times New Roman"/>
                <w:b/>
                <w:sz w:val="26"/>
                <w:lang w:val="nl-NL"/>
              </w:rPr>
            </w:pPr>
            <w:r w:rsidRPr="00662CE6">
              <w:rPr>
                <w:rFonts w:ascii="Times New Roman" w:hAnsi="Times New Roman"/>
                <w:b/>
                <w:sz w:val="26"/>
                <w:lang w:val="nl-NL"/>
              </w:rPr>
              <w:t>CỘNG HOÀ XÃ HỘI CHỦ NGHĨA VIỆT NAM</w:t>
            </w:r>
          </w:p>
          <w:p w:rsidR="00446B94" w:rsidRPr="00662CE6" w:rsidRDefault="00446B94" w:rsidP="006610BC">
            <w:pPr>
              <w:jc w:val="center"/>
              <w:rPr>
                <w:rFonts w:ascii="Times New Roman" w:hAnsi="Times New Roman"/>
                <w:b/>
                <w:lang w:val="nl-NL"/>
              </w:rPr>
            </w:pPr>
            <w:r w:rsidRPr="00662CE6">
              <w:rPr>
                <w:rFonts w:ascii="Times New Roman" w:hAnsi="Times New Roman"/>
                <w:b/>
                <w:lang w:val="nl-NL"/>
              </w:rPr>
              <w:t>Độc lập - Tự do - Hạnh phúc</w:t>
            </w:r>
          </w:p>
          <w:p w:rsidR="00446B94" w:rsidRPr="00662CE6" w:rsidRDefault="002C7D1E" w:rsidP="008568FD">
            <w:pPr>
              <w:spacing w:before="120"/>
              <w:rPr>
                <w:rFonts w:ascii="Times New Roman" w:hAnsi="Times New Roman"/>
                <w:i/>
                <w:lang w:val="nl-NL"/>
              </w:rPr>
            </w:pPr>
            <w:r w:rsidRPr="00662CE6">
              <w:rPr>
                <w:rFonts w:ascii="Times New Roman" w:hAnsi="Times New Roman"/>
                <w:b/>
                <w:noProof/>
              </w:rPr>
              <mc:AlternateContent>
                <mc:Choice Requires="wps">
                  <w:drawing>
                    <wp:anchor distT="0" distB="0" distL="114300" distR="114300" simplePos="0" relativeHeight="251658240" behindDoc="0" locked="0" layoutInCell="1" allowOverlap="1" wp14:anchorId="65E634E1" wp14:editId="4B8797E5">
                      <wp:simplePos x="0" y="0"/>
                      <wp:positionH relativeFrom="column">
                        <wp:posOffset>1773555</wp:posOffset>
                      </wp:positionH>
                      <wp:positionV relativeFrom="paragraph">
                        <wp:posOffset>13335</wp:posOffset>
                      </wp:positionV>
                      <wp:extent cx="2084705"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1.05pt" to="30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n3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"/>
                  </w:pict>
                </mc:Fallback>
              </mc:AlternateContent>
            </w:r>
            <w:r w:rsidR="00446B94" w:rsidRPr="00662CE6">
              <w:rPr>
                <w:rFonts w:ascii="Times New Roman" w:hAnsi="Times New Roman"/>
                <w:i/>
                <w:lang w:val="nl-NL"/>
              </w:rPr>
              <w:t xml:space="preserve">             </w:t>
            </w:r>
          </w:p>
          <w:p w:rsidR="00446B94" w:rsidRPr="00662CE6" w:rsidRDefault="00446B94" w:rsidP="006610BC">
            <w:pPr>
              <w:jc w:val="center"/>
              <w:rPr>
                <w:rFonts w:ascii="Times New Roman" w:hAnsi="Times New Roman"/>
                <w:i/>
                <w:szCs w:val="28"/>
                <w:lang w:val="nl-NL"/>
              </w:rPr>
            </w:pPr>
          </w:p>
        </w:tc>
      </w:tr>
    </w:tbl>
    <w:p w:rsidR="006F0608" w:rsidRPr="00662CE6" w:rsidRDefault="006F0608" w:rsidP="006F0608">
      <w:pPr>
        <w:shd w:val="clear" w:color="auto" w:fill="FFFFFF"/>
        <w:spacing w:before="120" w:line="234" w:lineRule="atLeast"/>
        <w:jc w:val="center"/>
        <w:rPr>
          <w:rFonts w:ascii="Times New Roman" w:hAnsi="Times New Roman"/>
          <w:color w:val="000000"/>
          <w:szCs w:val="28"/>
        </w:rPr>
      </w:pPr>
      <w:r w:rsidRPr="00662CE6">
        <w:rPr>
          <w:rFonts w:ascii="Times New Roman" w:hAnsi="Times New Roman"/>
          <w:b/>
          <w:bCs/>
          <w:color w:val="000000"/>
          <w:szCs w:val="28"/>
          <w:lang w:val="vi-VN"/>
        </w:rPr>
        <w:t>BẢN TỔNG HỢP</w:t>
      </w:r>
    </w:p>
    <w:p w:rsidR="006F0608" w:rsidRPr="00662CE6" w:rsidRDefault="006F0608" w:rsidP="006F0608">
      <w:pPr>
        <w:shd w:val="clear" w:color="auto" w:fill="FFFFFF"/>
        <w:spacing w:before="120" w:line="234" w:lineRule="atLeast"/>
        <w:jc w:val="center"/>
        <w:rPr>
          <w:rFonts w:ascii="Times New Roman" w:hAnsi="Times New Roman"/>
          <w:b/>
          <w:color w:val="000000"/>
          <w:spacing w:val="-2"/>
          <w:szCs w:val="28"/>
        </w:rPr>
      </w:pPr>
      <w:r w:rsidRPr="00662CE6">
        <w:rPr>
          <w:rFonts w:ascii="Times New Roman" w:hAnsi="Times New Roman"/>
          <w:b/>
          <w:bCs/>
          <w:color w:val="000000"/>
          <w:spacing w:val="-2"/>
          <w:szCs w:val="28"/>
          <w:lang w:val="vi-VN"/>
        </w:rPr>
        <w:t xml:space="preserve">Ý kiến đóng góp đối với dự thảo </w:t>
      </w:r>
      <w:r w:rsidR="007544B0" w:rsidRPr="00662CE6">
        <w:rPr>
          <w:rFonts w:ascii="Times New Roman" w:hAnsi="Times New Roman"/>
          <w:b/>
          <w:bCs/>
          <w:color w:val="000000"/>
          <w:spacing w:val="-2"/>
          <w:szCs w:val="28"/>
        </w:rPr>
        <w:t xml:space="preserve">Nghị quyết </w:t>
      </w:r>
      <w:r w:rsidR="007544B0" w:rsidRPr="00662CE6">
        <w:rPr>
          <w:rFonts w:ascii="Times New Roman" w:hAnsi="Times New Roman"/>
          <w:b/>
          <w:bCs/>
          <w:spacing w:val="-2"/>
          <w:szCs w:val="28"/>
          <w:lang w:val="vi-VN"/>
        </w:rPr>
        <w:t xml:space="preserve">Quy định </w:t>
      </w:r>
      <w:r w:rsidR="007544B0" w:rsidRPr="00662CE6">
        <w:rPr>
          <w:rFonts w:ascii="Times New Roman" w:hAnsi="Times New Roman"/>
          <w:b/>
          <w:bCs/>
          <w:spacing w:val="-2"/>
          <w:szCs w:val="28"/>
        </w:rPr>
        <w:t xml:space="preserve">nội dung, định </w:t>
      </w:r>
      <w:r w:rsidR="007544B0" w:rsidRPr="00662CE6">
        <w:rPr>
          <w:rFonts w:ascii="Times New Roman" w:hAnsi="Times New Roman"/>
          <w:b/>
          <w:bCs/>
          <w:spacing w:val="-2"/>
          <w:szCs w:val="28"/>
          <w:lang w:val="vi-VN"/>
        </w:rPr>
        <w:t xml:space="preserve">mức </w:t>
      </w:r>
      <w:r w:rsidR="00C82F89" w:rsidRPr="00662CE6">
        <w:rPr>
          <w:rFonts w:ascii="Times New Roman" w:hAnsi="Times New Roman"/>
          <w:b/>
          <w:bCs/>
          <w:spacing w:val="-2"/>
          <w:szCs w:val="28"/>
        </w:rPr>
        <w:t xml:space="preserve">hỗ trợ </w:t>
      </w:r>
      <w:r w:rsidR="007544B0" w:rsidRPr="00662CE6">
        <w:rPr>
          <w:rFonts w:ascii="Times New Roman" w:hAnsi="Times New Roman"/>
          <w:b/>
          <w:bCs/>
          <w:spacing w:val="-2"/>
          <w:szCs w:val="28"/>
          <w:lang w:val="vi-VN"/>
        </w:rPr>
        <w:t xml:space="preserve">chi phí chuẩn bị </w:t>
      </w:r>
      <w:r w:rsidR="00B63BA0" w:rsidRPr="00662CE6">
        <w:rPr>
          <w:rFonts w:ascii="Times New Roman" w:hAnsi="Times New Roman"/>
          <w:b/>
          <w:bCs/>
          <w:spacing w:val="-2"/>
          <w:szCs w:val="28"/>
        </w:rPr>
        <w:t xml:space="preserve">đầu tư </w:t>
      </w:r>
      <w:r w:rsidR="007544B0" w:rsidRPr="00662CE6">
        <w:rPr>
          <w:rFonts w:ascii="Times New Roman" w:hAnsi="Times New Roman"/>
          <w:b/>
          <w:bCs/>
          <w:spacing w:val="-2"/>
          <w:szCs w:val="28"/>
          <w:lang w:val="vi-VN"/>
        </w:rPr>
        <w:t>và quản lý thực hiện dự án đối với một số dự án thuộc Chương trình Mục tiêu Quốc gia giai đoạn 2016-2020</w:t>
      </w:r>
      <w:r w:rsidR="007544B0" w:rsidRPr="00662CE6">
        <w:rPr>
          <w:rFonts w:ascii="Times New Roman" w:hAnsi="Times New Roman"/>
          <w:b/>
          <w:bCs/>
          <w:spacing w:val="-2"/>
          <w:szCs w:val="28"/>
        </w:rPr>
        <w:t xml:space="preserve"> trên địa bàn tỉnh Hà Tĩnh</w:t>
      </w:r>
    </w:p>
    <w:p w:rsidR="006F0608" w:rsidRPr="00662CE6" w:rsidRDefault="006F0608" w:rsidP="00135E37">
      <w:pPr>
        <w:shd w:val="clear" w:color="auto" w:fill="FFFFFF"/>
        <w:spacing w:before="120" w:line="234" w:lineRule="atLeast"/>
        <w:ind w:firstLine="720"/>
        <w:jc w:val="both"/>
        <w:rPr>
          <w:rFonts w:ascii="Times New Roman" w:hAnsi="Times New Roman"/>
          <w:color w:val="000000"/>
          <w:szCs w:val="28"/>
          <w:lang w:val="vi-VN"/>
        </w:rPr>
      </w:pPr>
      <w:r w:rsidRPr="00662CE6">
        <w:rPr>
          <w:rFonts w:ascii="Times New Roman" w:hAnsi="Times New Roman"/>
          <w:color w:val="000000"/>
          <w:szCs w:val="28"/>
          <w:lang w:val="vi-VN"/>
        </w:rPr>
        <w:t xml:space="preserve">Thực hiện theo trình tự, thủ tục soạn thảo, ban hành văn bản quy phạm pháp luật, </w:t>
      </w:r>
      <w:r w:rsidR="00591329" w:rsidRPr="00662CE6">
        <w:rPr>
          <w:rFonts w:ascii="Times New Roman" w:hAnsi="Times New Roman"/>
          <w:color w:val="000000"/>
          <w:szCs w:val="28"/>
        </w:rPr>
        <w:t xml:space="preserve"> Sở Xây dựng </w:t>
      </w:r>
      <w:r w:rsidRPr="00662CE6">
        <w:rPr>
          <w:rFonts w:ascii="Times New Roman" w:hAnsi="Times New Roman"/>
          <w:color w:val="000000"/>
          <w:szCs w:val="28"/>
          <w:lang w:val="vi-VN"/>
        </w:rPr>
        <w:t xml:space="preserve">đã gửi dự thảo </w:t>
      </w:r>
      <w:r w:rsidR="00591329" w:rsidRPr="00662CE6">
        <w:rPr>
          <w:rFonts w:ascii="Times New Roman" w:hAnsi="Times New Roman"/>
          <w:bCs/>
          <w:szCs w:val="28"/>
        </w:rPr>
        <w:t>Nghị quyết</w:t>
      </w:r>
      <w:r w:rsidR="00591329" w:rsidRPr="00662CE6">
        <w:rPr>
          <w:rFonts w:ascii="Times New Roman" w:hAnsi="Times New Roman"/>
          <w:bCs/>
          <w:szCs w:val="28"/>
          <w:lang w:val="pt-BR"/>
        </w:rPr>
        <w:t xml:space="preserve"> </w:t>
      </w:r>
      <w:r w:rsidR="00591329" w:rsidRPr="00662CE6">
        <w:rPr>
          <w:rFonts w:ascii="Times New Roman" w:hAnsi="Times New Roman"/>
          <w:bCs/>
          <w:szCs w:val="28"/>
          <w:lang w:val="vi-VN"/>
        </w:rPr>
        <w:t xml:space="preserve">Quy định </w:t>
      </w:r>
      <w:r w:rsidR="00591329" w:rsidRPr="00662CE6">
        <w:rPr>
          <w:rFonts w:ascii="Times New Roman" w:hAnsi="Times New Roman"/>
          <w:bCs/>
          <w:szCs w:val="28"/>
        </w:rPr>
        <w:t xml:space="preserve">nội dung, định </w:t>
      </w:r>
      <w:r w:rsidR="00591329" w:rsidRPr="00662CE6">
        <w:rPr>
          <w:rFonts w:ascii="Times New Roman" w:hAnsi="Times New Roman"/>
          <w:bCs/>
          <w:szCs w:val="28"/>
          <w:lang w:val="vi-VN"/>
        </w:rPr>
        <w:t>mức hỗ trợ</w:t>
      </w:r>
      <w:r w:rsidR="00B42884" w:rsidRPr="00662CE6">
        <w:rPr>
          <w:rFonts w:ascii="Times New Roman" w:hAnsi="Times New Roman"/>
          <w:bCs/>
          <w:szCs w:val="28"/>
        </w:rPr>
        <w:t xml:space="preserve"> chi phí</w:t>
      </w:r>
      <w:r w:rsidR="00591329" w:rsidRPr="00662CE6">
        <w:rPr>
          <w:rFonts w:ascii="Times New Roman" w:hAnsi="Times New Roman"/>
          <w:bCs/>
          <w:szCs w:val="28"/>
          <w:lang w:val="vi-VN"/>
        </w:rPr>
        <w:t xml:space="preserve"> chuẩn bị và quản lý thực hiện dự án đối với một số dự án thuộc Chương trình Mục tiêu Quốc gia giai đoạn 2016-2020</w:t>
      </w:r>
      <w:r w:rsidR="00591329" w:rsidRPr="00662CE6">
        <w:rPr>
          <w:rFonts w:ascii="Times New Roman" w:hAnsi="Times New Roman"/>
          <w:bCs/>
          <w:szCs w:val="28"/>
        </w:rPr>
        <w:t xml:space="preserve"> </w:t>
      </w:r>
      <w:r w:rsidRPr="00662CE6">
        <w:rPr>
          <w:rFonts w:ascii="Times New Roman" w:hAnsi="Times New Roman"/>
          <w:color w:val="000000"/>
          <w:szCs w:val="28"/>
          <w:lang w:val="vi-VN"/>
        </w:rPr>
        <w:t>lấy ý</w:t>
      </w:r>
      <w:bookmarkStart w:id="0" w:name="_GoBack"/>
      <w:bookmarkEnd w:id="0"/>
      <w:r w:rsidRPr="00662CE6">
        <w:rPr>
          <w:rFonts w:ascii="Times New Roman" w:hAnsi="Times New Roman"/>
          <w:color w:val="000000"/>
          <w:szCs w:val="28"/>
          <w:lang w:val="vi-VN"/>
        </w:rPr>
        <w:t xml:space="preserve"> kiến của </w:t>
      </w:r>
      <w:r w:rsidR="00591329" w:rsidRPr="00662CE6">
        <w:rPr>
          <w:rFonts w:ascii="Times New Roman" w:hAnsi="Times New Roman"/>
          <w:color w:val="000000"/>
          <w:szCs w:val="28"/>
        </w:rPr>
        <w:t>các Sở, ban, ngành và địa phương có liên quan.</w:t>
      </w:r>
      <w:r w:rsidRPr="00662CE6">
        <w:rPr>
          <w:rFonts w:ascii="Times New Roman" w:hAnsi="Times New Roman"/>
          <w:color w:val="000000"/>
          <w:szCs w:val="28"/>
          <w:lang w:val="vi-VN"/>
        </w:rPr>
        <w:t xml:space="preserve"> Hiện nay đã nhận được </w:t>
      </w:r>
      <w:r w:rsidR="00F3073D" w:rsidRPr="00662CE6">
        <w:rPr>
          <w:rFonts w:ascii="Times New Roman" w:hAnsi="Times New Roman"/>
          <w:color w:val="000000"/>
          <w:szCs w:val="28"/>
        </w:rPr>
        <w:t xml:space="preserve">19/27 </w:t>
      </w:r>
      <w:r w:rsidRPr="00662CE6">
        <w:rPr>
          <w:rFonts w:ascii="Times New Roman" w:hAnsi="Times New Roman"/>
          <w:color w:val="000000"/>
          <w:szCs w:val="28"/>
          <w:lang w:val="vi-VN"/>
        </w:rPr>
        <w:t>góp ý của các cơ quan, đơn vị</w:t>
      </w:r>
      <w:r w:rsidR="000E6E9A" w:rsidRPr="00662CE6">
        <w:rPr>
          <w:rFonts w:ascii="Times New Roman" w:hAnsi="Times New Roman"/>
          <w:color w:val="000000"/>
          <w:szCs w:val="28"/>
        </w:rPr>
        <w:t xml:space="preserve"> </w:t>
      </w:r>
      <w:r w:rsidR="000E6E9A" w:rsidRPr="00662CE6">
        <w:rPr>
          <w:rFonts w:ascii="Times New Roman" w:hAnsi="Times New Roman"/>
          <w:i/>
          <w:color w:val="000000"/>
          <w:szCs w:val="28"/>
        </w:rPr>
        <w:t>(có bản góp ý kèm theo).</w:t>
      </w:r>
      <w:r w:rsidR="000E6E9A" w:rsidRPr="00662CE6">
        <w:rPr>
          <w:rFonts w:ascii="Times New Roman" w:hAnsi="Times New Roman"/>
          <w:color w:val="000000"/>
          <w:szCs w:val="28"/>
          <w:lang w:val="vi-VN"/>
        </w:rPr>
        <w:t xml:space="preserve"> </w:t>
      </w:r>
      <w:r w:rsidR="000E6E9A" w:rsidRPr="00662CE6">
        <w:rPr>
          <w:rFonts w:ascii="Times New Roman" w:hAnsi="Times New Roman"/>
          <w:color w:val="000000"/>
          <w:szCs w:val="28"/>
        </w:rPr>
        <w:t>T</w:t>
      </w:r>
      <w:r w:rsidRPr="00662CE6">
        <w:rPr>
          <w:rFonts w:ascii="Times New Roman" w:hAnsi="Times New Roman"/>
          <w:color w:val="000000"/>
          <w:szCs w:val="28"/>
          <w:lang w:val="vi-VN"/>
        </w:rPr>
        <w:t>rên cơ sở các ý kiến đóng góp</w:t>
      </w:r>
      <w:r w:rsidR="001834A8" w:rsidRPr="00662CE6">
        <w:rPr>
          <w:rFonts w:ascii="Times New Roman" w:hAnsi="Times New Roman"/>
          <w:color w:val="000000"/>
          <w:szCs w:val="28"/>
        </w:rPr>
        <w:t xml:space="preserve"> của các đơn vị. </w:t>
      </w:r>
      <w:r w:rsidR="00591329" w:rsidRPr="00662CE6">
        <w:rPr>
          <w:rFonts w:ascii="Times New Roman" w:hAnsi="Times New Roman"/>
          <w:color w:val="000000"/>
          <w:szCs w:val="28"/>
        </w:rPr>
        <w:t>Sở Xây dựng</w:t>
      </w:r>
      <w:r w:rsidRPr="00662CE6">
        <w:rPr>
          <w:rFonts w:ascii="Times New Roman" w:hAnsi="Times New Roman"/>
          <w:color w:val="000000"/>
          <w:szCs w:val="28"/>
          <w:lang w:val="vi-VN"/>
        </w:rPr>
        <w:t xml:space="preserve"> đã tổng hợp, giải trình ý kiến tiếp thu như sau:</w:t>
      </w:r>
    </w:p>
    <w:p w:rsidR="00907CD3" w:rsidRPr="00662CE6" w:rsidRDefault="00907CD3" w:rsidP="00135E37">
      <w:pPr>
        <w:shd w:val="clear" w:color="auto" w:fill="FFFFFF"/>
        <w:spacing w:before="120" w:line="234" w:lineRule="atLeast"/>
        <w:ind w:firstLine="720"/>
        <w:jc w:val="both"/>
        <w:rPr>
          <w:rFonts w:ascii="Times New Roman" w:hAnsi="Times New Roman"/>
          <w:color w:val="000000"/>
          <w:szCs w:val="28"/>
          <w:lang w:val="vi-VN"/>
        </w:rPr>
      </w:pPr>
    </w:p>
    <w:tbl>
      <w:tblPr>
        <w:tblW w:w="1446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5"/>
        <w:gridCol w:w="2428"/>
        <w:gridCol w:w="3962"/>
        <w:gridCol w:w="7344"/>
      </w:tblGrid>
      <w:tr w:rsidR="00FF793F" w:rsidRPr="00662CE6" w:rsidTr="00FF793F">
        <w:trPr>
          <w:tblCellSpacing w:w="0" w:type="dxa"/>
        </w:trPr>
        <w:tc>
          <w:tcPr>
            <w:tcW w:w="254" w:type="pct"/>
            <w:shd w:val="clear" w:color="auto" w:fill="FFFFFF"/>
            <w:vAlign w:val="center"/>
            <w:hideMark/>
          </w:tcPr>
          <w:p w:rsidR="00FF793F" w:rsidRPr="00662CE6" w:rsidRDefault="00FF793F" w:rsidP="006610BC">
            <w:pPr>
              <w:spacing w:before="120" w:line="234" w:lineRule="atLeast"/>
              <w:jc w:val="center"/>
              <w:rPr>
                <w:rFonts w:ascii="Times New Roman" w:hAnsi="Times New Roman"/>
                <w:color w:val="000000"/>
                <w:sz w:val="26"/>
                <w:szCs w:val="26"/>
              </w:rPr>
            </w:pPr>
            <w:r w:rsidRPr="00662CE6">
              <w:rPr>
                <w:rFonts w:ascii="Times New Roman" w:hAnsi="Times New Roman"/>
                <w:b/>
                <w:bCs/>
                <w:color w:val="000000"/>
                <w:sz w:val="26"/>
                <w:szCs w:val="26"/>
                <w:lang w:val="vi-VN"/>
              </w:rPr>
              <w:t>STT</w:t>
            </w:r>
          </w:p>
        </w:tc>
        <w:tc>
          <w:tcPr>
            <w:tcW w:w="839" w:type="pct"/>
            <w:shd w:val="clear" w:color="auto" w:fill="FFFFFF"/>
            <w:vAlign w:val="center"/>
            <w:hideMark/>
          </w:tcPr>
          <w:p w:rsidR="00FF793F" w:rsidRPr="00662CE6" w:rsidRDefault="00FF793F" w:rsidP="006610BC">
            <w:pPr>
              <w:spacing w:before="120" w:line="234" w:lineRule="atLeast"/>
              <w:jc w:val="center"/>
              <w:rPr>
                <w:rFonts w:ascii="Times New Roman" w:hAnsi="Times New Roman"/>
                <w:color w:val="000000"/>
                <w:sz w:val="26"/>
                <w:szCs w:val="26"/>
              </w:rPr>
            </w:pPr>
            <w:r w:rsidRPr="00662CE6">
              <w:rPr>
                <w:rFonts w:ascii="Times New Roman" w:hAnsi="Times New Roman"/>
                <w:b/>
                <w:bCs/>
                <w:color w:val="000000"/>
                <w:sz w:val="26"/>
                <w:szCs w:val="26"/>
                <w:lang w:val="vi-VN"/>
              </w:rPr>
              <w:t>Cơ quan, đơn vị góp ý</w:t>
            </w:r>
          </w:p>
        </w:tc>
        <w:tc>
          <w:tcPr>
            <w:tcW w:w="1369" w:type="pct"/>
            <w:shd w:val="clear" w:color="auto" w:fill="FFFFFF"/>
            <w:tcMar>
              <w:top w:w="0" w:type="dxa"/>
              <w:left w:w="29" w:type="dxa"/>
              <w:bottom w:w="0" w:type="dxa"/>
              <w:right w:w="29" w:type="dxa"/>
            </w:tcMar>
            <w:vAlign w:val="center"/>
            <w:hideMark/>
          </w:tcPr>
          <w:p w:rsidR="00FF793F" w:rsidRPr="00662CE6" w:rsidRDefault="00FF793F" w:rsidP="006610BC">
            <w:pPr>
              <w:spacing w:before="120" w:line="234" w:lineRule="atLeast"/>
              <w:jc w:val="center"/>
              <w:rPr>
                <w:rFonts w:ascii="Times New Roman" w:hAnsi="Times New Roman"/>
                <w:color w:val="000000"/>
                <w:sz w:val="26"/>
                <w:szCs w:val="26"/>
              </w:rPr>
            </w:pPr>
            <w:r w:rsidRPr="00662CE6">
              <w:rPr>
                <w:rFonts w:ascii="Times New Roman" w:hAnsi="Times New Roman"/>
                <w:b/>
                <w:bCs/>
                <w:color w:val="000000"/>
                <w:sz w:val="26"/>
                <w:szCs w:val="26"/>
                <w:lang w:val="vi-VN"/>
              </w:rPr>
              <w:t>Nội dung góp ý</w:t>
            </w:r>
          </w:p>
        </w:tc>
        <w:tc>
          <w:tcPr>
            <w:tcW w:w="2537" w:type="pct"/>
            <w:shd w:val="clear" w:color="auto" w:fill="FFFFFF"/>
            <w:tcMar>
              <w:top w:w="0" w:type="dxa"/>
              <w:left w:w="29" w:type="dxa"/>
              <w:bottom w:w="0" w:type="dxa"/>
              <w:right w:w="29" w:type="dxa"/>
            </w:tcMar>
            <w:vAlign w:val="center"/>
            <w:hideMark/>
          </w:tcPr>
          <w:p w:rsidR="00FF793F" w:rsidRPr="00662CE6" w:rsidRDefault="00FF793F" w:rsidP="006610BC">
            <w:pPr>
              <w:spacing w:before="120" w:line="234" w:lineRule="atLeast"/>
              <w:jc w:val="center"/>
              <w:rPr>
                <w:rFonts w:ascii="Times New Roman" w:hAnsi="Times New Roman"/>
                <w:color w:val="000000"/>
                <w:sz w:val="26"/>
                <w:szCs w:val="26"/>
              </w:rPr>
            </w:pPr>
            <w:r w:rsidRPr="00662CE6">
              <w:rPr>
                <w:rFonts w:ascii="Times New Roman" w:hAnsi="Times New Roman"/>
                <w:b/>
                <w:bCs/>
                <w:color w:val="000000"/>
                <w:sz w:val="26"/>
                <w:szCs w:val="26"/>
                <w:lang w:val="vi-VN"/>
              </w:rPr>
              <w:t>Ý kiến tiếp thu, giải trình của cơ quan soạn thảo</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1</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Sở Kế hoạch &amp; ĐT</w:t>
            </w: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rPr>
                <w:rFonts w:ascii="Times New Roman" w:hAnsi="Times New Roman"/>
                <w:color w:val="000000"/>
                <w:sz w:val="26"/>
                <w:szCs w:val="26"/>
              </w:rPr>
            </w:pPr>
            <w:r w:rsidRPr="00662CE6">
              <w:rPr>
                <w:rFonts w:ascii="Times New Roman" w:hAnsi="Times New Roman"/>
                <w:color w:val="000000"/>
                <w:sz w:val="26"/>
                <w:szCs w:val="26"/>
              </w:rPr>
              <w:t>- Đề nghị bỏ từ “hỗ trợ” trong trích yếu nghị quyết vì: nếu hỗ trợ mức đó thì phần còn lại Chủ đầu tư vẫn phải thanh toán mà quan điểm ở đây là các dự án này chỉ được thanh toán theo mức như trong dự thảo Nghị quyết</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xml:space="preserve">Trích yếu Nghị quyết phải thống nhất như quy định tại Nghị định 161/2016/ND-CP, cơ quan chủ trì soạn thảo không thể tự ý bỏ đi, sẽ không đúng với tinh thân của Nghị định 161/2016/ND-CP. Mặt khác, đây là thuật ngữ của Nghị định và từ </w:t>
            </w:r>
            <w:r w:rsidRPr="00662CE6">
              <w:rPr>
                <w:rFonts w:ascii="Times New Roman" w:hAnsi="Times New Roman"/>
                <w:b/>
                <w:i/>
                <w:color w:val="000000"/>
                <w:sz w:val="26"/>
                <w:szCs w:val="26"/>
              </w:rPr>
              <w:t>Hỗ trợ</w:t>
            </w:r>
            <w:r w:rsidRPr="00662CE6">
              <w:rPr>
                <w:rFonts w:ascii="Times New Roman" w:hAnsi="Times New Roman"/>
                <w:color w:val="000000"/>
                <w:sz w:val="26"/>
                <w:szCs w:val="26"/>
              </w:rPr>
              <w:t xml:space="preserve"> ở đầy phải hiểu là dựa trên định mức được xây dựng thì nhà nước hỗ trợ tối đa theo mức đã quy định tại Nghị quyết và trong quá trình thực hiện, Chủ đầu tư và tư vấn phải lập dự toán chi phí, thanh quyết toán theo định mức đã nêu trên mà không được giải ngân hay phải thanh toán thêm các khoản nào ngoài dự toán đã lập. Cũng như người dân không phải đóng góp thêm khoản nào khác để thanh toán cho các nội dung chi phí đã được đề cập trong Nghị quyết.</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rPr>
                <w:rFonts w:ascii="Times New Roman" w:hAnsi="Times New Roman"/>
                <w:color w:val="000000"/>
                <w:sz w:val="26"/>
                <w:szCs w:val="26"/>
              </w:rPr>
            </w:pPr>
            <w:r w:rsidRPr="00662CE6">
              <w:rPr>
                <w:rFonts w:ascii="Times New Roman" w:hAnsi="Times New Roman"/>
                <w:color w:val="000000"/>
                <w:sz w:val="26"/>
                <w:szCs w:val="26"/>
              </w:rPr>
              <w:t xml:space="preserve">- Sửa tên tiêu đề tại điều 2, 3,  4 và </w:t>
            </w:r>
            <w:r w:rsidRPr="00662CE6">
              <w:rPr>
                <w:rFonts w:ascii="Times New Roman" w:hAnsi="Times New Roman"/>
                <w:color w:val="000000"/>
                <w:sz w:val="26"/>
                <w:szCs w:val="26"/>
              </w:rPr>
              <w:lastRenderedPageBreak/>
              <w:t>nội dung tại điều 4</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lang w:val="vi-VN"/>
              </w:rPr>
            </w:pPr>
            <w:r w:rsidRPr="00662CE6">
              <w:rPr>
                <w:rFonts w:ascii="Times New Roman" w:hAnsi="Times New Roman"/>
                <w:color w:val="000000"/>
                <w:sz w:val="26"/>
                <w:szCs w:val="26"/>
              </w:rPr>
              <w:lastRenderedPageBreak/>
              <w:t xml:space="preserve">Sở Xây dựng đồng ý chỉnh sửa tiêu đề điều 3, 4 vào Dự thảo Nghị </w:t>
            </w:r>
            <w:r w:rsidRPr="00662CE6">
              <w:rPr>
                <w:rFonts w:ascii="Times New Roman" w:hAnsi="Times New Roman"/>
                <w:color w:val="000000"/>
                <w:sz w:val="26"/>
                <w:szCs w:val="26"/>
              </w:rPr>
              <w:lastRenderedPageBreak/>
              <w:t xml:space="preserve">quyết. Riêng tiêu đề tại Điều 2 Sở XD sửa thành </w:t>
            </w:r>
            <w:r w:rsidRPr="00662CE6">
              <w:rPr>
                <w:rFonts w:ascii="Times New Roman" w:hAnsi="Times New Roman"/>
                <w:i/>
                <w:color w:val="000000"/>
                <w:sz w:val="26"/>
                <w:szCs w:val="26"/>
              </w:rPr>
              <w:t xml:space="preserve">“Nội dung công việc” </w:t>
            </w:r>
            <w:r w:rsidRPr="00662CE6">
              <w:rPr>
                <w:rFonts w:ascii="Times New Roman" w:hAnsi="Times New Roman"/>
                <w:color w:val="000000"/>
                <w:sz w:val="26"/>
                <w:szCs w:val="26"/>
              </w:rPr>
              <w:t>cho phù hợp với nội dung tại điều 2. Về nội dung tại điều 4 cơ bản vẫn giữ theo dự thảo vì không thể bổ sung “ Nguồn đóng góp của nhân dân” vì các khoản chi phí đề cập tại Nghị quyết này được cân đối 100% từ nguồn vốn ngân sách nhà nước mà nhân dân không phải đóng góp.</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lastRenderedPageBreak/>
              <w:t>2</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Sở Tài chính</w:t>
            </w: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sz w:val="26"/>
                <w:szCs w:val="26"/>
              </w:rPr>
              <w:t xml:space="preserve">- Sửa đổi trích yếu của Nghị quyết như sau: </w:t>
            </w:r>
            <w:r w:rsidRPr="00662CE6">
              <w:rPr>
                <w:rFonts w:ascii="Times New Roman" w:hAnsi="Times New Roman"/>
                <w:sz w:val="26"/>
                <w:szCs w:val="26"/>
                <w:lang w:val="nl-NL"/>
              </w:rPr>
              <w:t>Quy định nội dung</w:t>
            </w:r>
            <w:r w:rsidRPr="00662CE6">
              <w:rPr>
                <w:rFonts w:ascii="Times New Roman" w:hAnsi="Times New Roman"/>
                <w:i/>
                <w:sz w:val="26"/>
                <w:szCs w:val="26"/>
                <w:lang w:val="nl-NL"/>
              </w:rPr>
              <w:t xml:space="preserve">, </w:t>
            </w:r>
            <w:r w:rsidRPr="00662CE6">
              <w:rPr>
                <w:rFonts w:ascii="Times New Roman" w:hAnsi="Times New Roman"/>
                <w:i/>
                <w:sz w:val="26"/>
                <w:szCs w:val="26"/>
                <w:u w:val="single"/>
                <w:lang w:val="nl-NL"/>
              </w:rPr>
              <w:t>định mức chi phí tối đa thực hiện</w:t>
            </w:r>
            <w:r w:rsidRPr="00662CE6">
              <w:rPr>
                <w:rFonts w:ascii="Times New Roman" w:hAnsi="Times New Roman"/>
                <w:i/>
                <w:sz w:val="26"/>
                <w:szCs w:val="26"/>
                <w:lang w:val="nl-NL"/>
              </w:rPr>
              <w:t xml:space="preserve"> </w:t>
            </w:r>
            <w:r w:rsidRPr="00662CE6">
              <w:rPr>
                <w:rFonts w:ascii="Times New Roman" w:hAnsi="Times New Roman"/>
                <w:sz w:val="26"/>
                <w:szCs w:val="26"/>
                <w:lang w:val="nl-NL"/>
              </w:rPr>
              <w:t xml:space="preserve">chuẩn bị và quản lý thực hiện dự án đối với </w:t>
            </w:r>
            <w:r w:rsidRPr="00662CE6">
              <w:rPr>
                <w:rFonts w:ascii="Times New Roman" w:hAnsi="Times New Roman"/>
                <w:i/>
                <w:sz w:val="26"/>
                <w:szCs w:val="26"/>
                <w:u w:val="single"/>
                <w:lang w:val="nl-NL"/>
              </w:rPr>
              <w:t>các</w:t>
            </w:r>
            <w:r w:rsidRPr="00662CE6">
              <w:rPr>
                <w:rFonts w:ascii="Times New Roman" w:hAnsi="Times New Roman"/>
                <w:sz w:val="26"/>
                <w:szCs w:val="26"/>
                <w:u w:val="single"/>
                <w:lang w:val="nl-NL"/>
              </w:rPr>
              <w:t xml:space="preserve"> </w:t>
            </w:r>
            <w:r w:rsidRPr="00662CE6">
              <w:rPr>
                <w:rFonts w:ascii="Times New Roman" w:hAnsi="Times New Roman"/>
                <w:i/>
                <w:sz w:val="26"/>
                <w:szCs w:val="26"/>
                <w:u w:val="single"/>
                <w:lang w:val="nl-NL"/>
              </w:rPr>
              <w:t>dự án</w:t>
            </w:r>
            <w:r w:rsidRPr="00662CE6">
              <w:rPr>
                <w:rFonts w:ascii="Times New Roman" w:hAnsi="Times New Roman"/>
                <w:sz w:val="26"/>
                <w:szCs w:val="26"/>
                <w:lang w:val="nl-NL"/>
              </w:rPr>
              <w:t xml:space="preserve"> thuộc các Chương trình mục tiêu quốc gia, giai đoạn 2016 - 2020 trên địa bàn tỉnh Hà Tĩnh</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lang w:val="vi-VN"/>
              </w:rPr>
            </w:pPr>
            <w:r w:rsidRPr="00662CE6">
              <w:rPr>
                <w:rFonts w:ascii="Times New Roman" w:hAnsi="Times New Roman"/>
                <w:color w:val="000000"/>
                <w:sz w:val="26"/>
                <w:szCs w:val="26"/>
              </w:rPr>
              <w:t>Trích yếu Nghị quyết phải thống nhất như quy định tại Nghị định 161/2016/ND-CP, cơ quan chủ trì soạn thảo không thể tự ý bỏ đi, sẽ không đúng với tinh thần của Nghị định 161/2016/ND-CP. Sở Xây dựng vẫn giữ nguyên trích yếu như dự thảo, tuy nhiên về tiêu đề tại điều 2, 3, 4 sẽ sửa đổi như đề xuất của Sở kế hoạch ở trên.</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rPr>
                <w:rFonts w:ascii="Times New Roman" w:hAnsi="Times New Roman"/>
                <w:color w:val="000000"/>
                <w:sz w:val="26"/>
                <w:szCs w:val="26"/>
              </w:rPr>
            </w:pPr>
            <w:r w:rsidRPr="00662CE6">
              <w:rPr>
                <w:rFonts w:ascii="Times New Roman" w:hAnsi="Times New Roman"/>
                <w:sz w:val="26"/>
                <w:szCs w:val="26"/>
              </w:rPr>
              <w:t>- Tại khoản 1, điều 1: Phạm vi điều chỉnh: đề nghị sửa đổi cụm từ “một số dự án” thành “các dự án” (tương tự ý kiến Sở Kế hoạch)</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xml:space="preserve">Sở Xây dựng tiếp thu ý kiến và đồng ý chỉnh sửa </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AE6071">
            <w:pPr>
              <w:spacing w:line="340" w:lineRule="exact"/>
              <w:jc w:val="both"/>
              <w:rPr>
                <w:rFonts w:ascii="Times New Roman" w:hAnsi="Times New Roman"/>
                <w:sz w:val="26"/>
                <w:szCs w:val="26"/>
              </w:rPr>
            </w:pPr>
            <w:r w:rsidRPr="00662CE6">
              <w:rPr>
                <w:rFonts w:ascii="Times New Roman" w:hAnsi="Times New Roman"/>
                <w:sz w:val="26"/>
                <w:szCs w:val="26"/>
              </w:rPr>
              <w:t>- Tại điểm a, khoản 1, điều 2: Nội dung khảo sát địa hình, địa chất nên phân theo nhóm công trình (Dân dụng, giao thông, thủy lợi…) để quy định định mức thực hiện và quy định tiêu chuẩn khảo sát, phạm vi khảo sát đối với từng nhóm công trình.</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xml:space="preserve">Về định mức khảo sát, phạm vi khảo sát, khối lượng khảo sát công trình xây dựng các loại đã được Bộ Xây dựng quy định cụ thể tại các Bộ Tiêu chuẩn, quy chuẩn Việt Nam nên Nghị quyết không quy định nội dung này. </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3</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Sở Giao thông vận tải</w:t>
            </w:r>
          </w:p>
        </w:tc>
        <w:tc>
          <w:tcPr>
            <w:tcW w:w="1369" w:type="pct"/>
            <w:shd w:val="clear" w:color="auto" w:fill="FFFFFF"/>
            <w:tcMar>
              <w:top w:w="0" w:type="dxa"/>
              <w:left w:w="29" w:type="dxa"/>
              <w:bottom w:w="0" w:type="dxa"/>
              <w:right w:w="29" w:type="dxa"/>
            </w:tcMar>
          </w:tcPr>
          <w:p w:rsidR="00FF793F" w:rsidRPr="00662CE6" w:rsidRDefault="00FF793F" w:rsidP="00FF793F">
            <w:pPr>
              <w:pStyle w:val="Body1"/>
              <w:spacing w:after="80"/>
              <w:jc w:val="both"/>
              <w:rPr>
                <w:color w:val="auto"/>
                <w:sz w:val="26"/>
                <w:szCs w:val="26"/>
                <w:lang w:val="nl-NL"/>
              </w:rPr>
            </w:pPr>
            <w:r w:rsidRPr="00662CE6">
              <w:rPr>
                <w:color w:val="auto"/>
                <w:sz w:val="26"/>
                <w:szCs w:val="26"/>
                <w:lang w:val="nl-NL"/>
              </w:rPr>
              <w:t>- Tại điểm b) mục 1 Điều 2 quy định: “Lập hồ sơ xây dựng công trình:</w:t>
            </w:r>
            <w:r w:rsidRPr="00662CE6">
              <w:rPr>
                <w:i/>
                <w:color w:val="auto"/>
                <w:sz w:val="26"/>
                <w:szCs w:val="26"/>
                <w:lang w:val="nl-NL"/>
              </w:rPr>
              <w:t xml:space="preserve"> (bao gồm Báo cáo thuyết minh dự án; Thiết kế bản vẽ thi công bao gồm cả thiết kế định hình và thiết kế điều chỉnh, bổ sung (nếu có); Dự toán xây dựng công trình)”</w:t>
            </w:r>
            <w:r w:rsidRPr="00662CE6">
              <w:rPr>
                <w:color w:val="auto"/>
                <w:sz w:val="26"/>
                <w:szCs w:val="26"/>
                <w:lang w:val="nl-NL"/>
              </w:rPr>
              <w:t>, đề nghị sửa lại như sau: “Lập hồ sơ xây dựng công trình:</w:t>
            </w:r>
            <w:r w:rsidRPr="00662CE6">
              <w:rPr>
                <w:i/>
                <w:color w:val="auto"/>
                <w:sz w:val="26"/>
                <w:szCs w:val="26"/>
                <w:lang w:val="nl-NL"/>
              </w:rPr>
              <w:t xml:space="preserve"> (bao gồm Báo cáo thuyết minh dự án; Thiết kế bản vẽ thi công (bao gồm áp dụng, vận dụng hồ sơ thiết kế mẫu, thiết kế điển hình đã được cấp thẩm quyền ban hành và thiết kế các hạng mục công trình khác theo quy chuẩn, tiêu chuẩn ngành có liên quan nếu có); Dự toán xây dựng công trình)”.</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Tiếp thu ý kiến góp ý của Sở Giao thông vận tải. Sở Xây dựng đã chỉnh sửa theo đề xuất.</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907CD3">
            <w:pPr>
              <w:pStyle w:val="Body1"/>
              <w:spacing w:after="80"/>
              <w:jc w:val="both"/>
              <w:rPr>
                <w:color w:val="auto"/>
                <w:sz w:val="26"/>
                <w:szCs w:val="26"/>
                <w:lang w:val="nl-NL"/>
              </w:rPr>
            </w:pPr>
            <w:r w:rsidRPr="00662CE6">
              <w:rPr>
                <w:color w:val="auto"/>
                <w:sz w:val="26"/>
                <w:szCs w:val="26"/>
                <w:lang w:val="nl-NL"/>
              </w:rPr>
              <w:t xml:space="preserve"> - Tại điểm b) mục 2 Điều 2 quy định: “Chi phí giám sát thi công </w:t>
            </w:r>
            <w:r w:rsidRPr="00662CE6">
              <w:rPr>
                <w:i/>
                <w:color w:val="auto"/>
                <w:sz w:val="26"/>
                <w:szCs w:val="26"/>
                <w:lang w:val="nl-NL"/>
              </w:rPr>
              <w:t>(bao gồm tư vấn giám sát và giám sát cộng đồng)”</w:t>
            </w:r>
            <w:r w:rsidRPr="00662CE6">
              <w:rPr>
                <w:color w:val="auto"/>
                <w:sz w:val="26"/>
                <w:szCs w:val="26"/>
                <w:lang w:val="nl-NL"/>
              </w:rPr>
              <w:t xml:space="preserve">, đề nghị sửa lại như sau: “Chi phí giám sát thi công </w:t>
            </w:r>
            <w:r w:rsidRPr="00662CE6">
              <w:rPr>
                <w:i/>
                <w:color w:val="auto"/>
                <w:sz w:val="26"/>
                <w:szCs w:val="26"/>
                <w:lang w:val="nl-NL"/>
              </w:rPr>
              <w:t>(bao gồm chi phí thuê tổ chức, cá nhân có năng lực thực hiện công tác tư vấn giám sát và thực hiện giám sát cộng đồng)”</w:t>
            </w:r>
            <w:r w:rsidRPr="00662CE6">
              <w:rPr>
                <w:color w:val="auto"/>
                <w:sz w:val="26"/>
                <w:szCs w:val="26"/>
                <w:lang w:val="nl-NL"/>
              </w:rPr>
              <w:t>,</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Sở Xây dựng tính toán định mức thực hiện công tác giám sát thi công bao gồm thuê cá nhân có năng lực và giám sát cộng đồng mà không thực hiện thuê tổ chức tư vấn giám sát. Vì vậy ý kiến này Sở Xây dựng tiếp thu và chỉnh sửa từ ngữ cho chính xác.</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4</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UBND thị xã Hồng Lĩnh</w:t>
            </w: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lang w:val="vi-VN"/>
              </w:rPr>
            </w:pPr>
            <w:r w:rsidRPr="00662CE6">
              <w:rPr>
                <w:rFonts w:ascii="Times New Roman" w:hAnsi="Times New Roman"/>
                <w:sz w:val="26"/>
                <w:szCs w:val="26"/>
              </w:rPr>
              <w:t>- Đề nghị mở rộng thêm phạm vi điều chỉnh là các dự án chỉnh trang, nâng cấp hạ tầng giao thông đô thị có sự tham gia đóng góp của cộng đồng dân cư.; Hỗ trợ công tác lập quy hoạch chỉnh trang các khu dân cư cũ tại nông thôn…</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Việc mở rộng phạm vi điều chỉnh của Nghị quyết là không phù hợp với quy định tại Điều 2, Nghị định 161/ND-CP. Mặt khác đối với công tác lập quy hoạch các dự án thuộc chương trình MTQG được hỗ trợ 100% từ ngân sách nhà nước theo quy định của Chính phủ và Nghị quyết của HĐND tỉnh.</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rPr>
                <w:rFonts w:ascii="Times New Roman" w:hAnsi="Times New Roman"/>
                <w:color w:val="000000"/>
                <w:sz w:val="26"/>
                <w:szCs w:val="26"/>
                <w:lang w:val="vi-VN"/>
              </w:rPr>
            </w:pPr>
            <w:r w:rsidRPr="00662CE6">
              <w:rPr>
                <w:rFonts w:ascii="Times New Roman" w:hAnsi="Times New Roman"/>
                <w:sz w:val="26"/>
                <w:szCs w:val="26"/>
              </w:rPr>
              <w:t>- Xem xét, điều chỉnh mức hỗ trợ 100% kinh phí lập và thẩm định hồ sơ xây dựng công trình (như ý kiến của Văn phòng điều phối NTM)</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Về chi phí thẩm định: Những công trình này đã có thiết kế mẫu hoặc định hình nên chi phí thẩm định sẽ rất nhỏ. Các chủ đầu tư hoặc cơ quan chuyên môn sẽ thực hiện miễn phí nên không xem xét tính toán hỗ trợ.</w:t>
            </w:r>
          </w:p>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Về chi phí lập hồ sơ xây dựng không thực hiện hỗ trợ 100%. Sở xây dựng đã giải trình cho ý kiến của Văn phòng điều phối Nông thôn mới của tỉnh ở trên.</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5</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UBND huyện Vũ Quang</w:t>
            </w: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sz w:val="26"/>
                <w:szCs w:val="26"/>
              </w:rPr>
            </w:pPr>
            <w:r w:rsidRPr="00662CE6">
              <w:rPr>
                <w:rFonts w:ascii="Times New Roman" w:hAnsi="Times New Roman"/>
                <w:sz w:val="26"/>
                <w:szCs w:val="26"/>
              </w:rPr>
              <w:t>Bổ sung chi phí thẩm định hồ sơ xây dựng, vì nội dung này đơn vị thẩm định các cấp phải bố trí nhiều thời gian ngoài giờ để nghiên cứu hồ sơ, phát sinh chi phí đi thực địa, vì vậy đề nghị hỗ trợ 50% phí theo quy định.</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 Về chi phí thẩm định: Những công trình này đã có thiết kế mẫu hoặc định hình nên chi phí thẩm định sẽ rất nhỏ. Các chủ đầu tư hoặc cơ quan chuyên môn sẽ thực hiện miễn phí nên không xem xét tính toán hỗ trợ, việc khảo sát thực địa chủ yếu do tư vấn thực hiện.</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lang w:val="vi-VN"/>
              </w:rPr>
            </w:pP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sz w:val="26"/>
                <w:szCs w:val="26"/>
              </w:rPr>
            </w:pPr>
            <w:r w:rsidRPr="00662CE6">
              <w:rPr>
                <w:rFonts w:ascii="Times New Roman" w:hAnsi="Times New Roman"/>
                <w:sz w:val="26"/>
                <w:szCs w:val="26"/>
              </w:rPr>
              <w:t>Đề nghị quy định rõ mức chi phí tối thiểu đối với các loại chi phí khảo sát, chi phí quản lý dự án, chi phí giám sát thi công</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Theo định mức của Bộ Xây dựng, chỉ có Chi phái lập hồ sơ xây dựng có quy định mức tối thiểu, còn các loại chi phí tư vấn và quản lý dự án không quy định nên Sở xây dựng cũng không quy định mức tối thiểu để nhất quán với quy định của Bộ XD</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6</w:t>
            </w:r>
          </w:p>
        </w:tc>
        <w:tc>
          <w:tcPr>
            <w:tcW w:w="839" w:type="pct"/>
            <w:shd w:val="clear" w:color="auto" w:fill="FFFFFF"/>
          </w:tcPr>
          <w:p w:rsidR="00FF793F" w:rsidRPr="00662CE6" w:rsidRDefault="00FF793F" w:rsidP="00907CD3">
            <w:pPr>
              <w:spacing w:before="120" w:line="234" w:lineRule="atLeast"/>
              <w:jc w:val="center"/>
              <w:rPr>
                <w:rFonts w:ascii="Times New Roman" w:hAnsi="Times New Roman"/>
                <w:color w:val="000000"/>
                <w:sz w:val="26"/>
                <w:szCs w:val="26"/>
              </w:rPr>
            </w:pPr>
          </w:p>
          <w:p w:rsidR="00FF793F" w:rsidRPr="00662CE6" w:rsidRDefault="00FF793F" w:rsidP="00907CD3">
            <w:pPr>
              <w:spacing w:before="120" w:line="234" w:lineRule="atLeast"/>
              <w:jc w:val="center"/>
              <w:rPr>
                <w:rFonts w:ascii="Times New Roman" w:hAnsi="Times New Roman"/>
                <w:color w:val="000000"/>
                <w:sz w:val="26"/>
                <w:szCs w:val="26"/>
              </w:rPr>
            </w:pPr>
          </w:p>
          <w:p w:rsidR="00FF793F" w:rsidRPr="00662CE6" w:rsidRDefault="00FF793F" w:rsidP="00907CD3">
            <w:pPr>
              <w:spacing w:before="120" w:line="234" w:lineRule="atLeast"/>
              <w:jc w:val="center"/>
              <w:rPr>
                <w:rFonts w:ascii="Times New Roman" w:hAnsi="Times New Roman"/>
                <w:color w:val="000000"/>
                <w:sz w:val="26"/>
                <w:szCs w:val="26"/>
              </w:rPr>
            </w:pPr>
          </w:p>
          <w:p w:rsidR="00FF793F" w:rsidRPr="00662CE6" w:rsidRDefault="00FF793F" w:rsidP="00907CD3">
            <w:pPr>
              <w:spacing w:before="120" w:line="234" w:lineRule="atLeast"/>
              <w:jc w:val="center"/>
              <w:rPr>
                <w:rFonts w:ascii="Times New Roman" w:hAnsi="Times New Roman"/>
                <w:color w:val="000000"/>
                <w:sz w:val="26"/>
                <w:szCs w:val="26"/>
              </w:rPr>
            </w:pPr>
            <w:r w:rsidRPr="00662CE6">
              <w:rPr>
                <w:rFonts w:ascii="Times New Roman" w:hAnsi="Times New Roman"/>
                <w:color w:val="000000"/>
                <w:sz w:val="26"/>
                <w:szCs w:val="26"/>
              </w:rPr>
              <w:t>UBND huyện Hương Sơn</w:t>
            </w:r>
          </w:p>
        </w:tc>
        <w:tc>
          <w:tcPr>
            <w:tcW w:w="1369"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sz w:val="26"/>
                <w:szCs w:val="26"/>
              </w:rPr>
            </w:pPr>
            <w:r w:rsidRPr="00662CE6">
              <w:rPr>
                <w:rFonts w:ascii="Times New Roman" w:hAnsi="Times New Roman"/>
                <w:bCs/>
                <w:sz w:val="26"/>
                <w:szCs w:val="26"/>
              </w:rPr>
              <w:t>Về căn cứ để ban hành văn bản: Sở Xây dựng nghiên cứu có nên đưa căn cứ “Nghị quyết số 70/NQ-CP ngày 03/8/2017 của Chính phủ” vào nội dung để căn cứ ban hành Nghị quyết hay không</w:t>
            </w:r>
          </w:p>
        </w:tc>
        <w:tc>
          <w:tcPr>
            <w:tcW w:w="2537" w:type="pct"/>
            <w:shd w:val="clear" w:color="auto" w:fill="FFFFFF"/>
            <w:tcMar>
              <w:top w:w="0" w:type="dxa"/>
              <w:left w:w="29" w:type="dxa"/>
              <w:bottom w:w="0" w:type="dxa"/>
              <w:right w:w="29" w:type="dxa"/>
            </w:tcMar>
          </w:tcPr>
          <w:p w:rsidR="00FF793F" w:rsidRPr="00662CE6" w:rsidRDefault="00FF793F" w:rsidP="00907CD3">
            <w:pPr>
              <w:spacing w:before="120" w:line="234" w:lineRule="atLeast"/>
              <w:jc w:val="both"/>
              <w:rPr>
                <w:rFonts w:ascii="Times New Roman" w:hAnsi="Times New Roman"/>
                <w:color w:val="000000"/>
                <w:sz w:val="26"/>
                <w:szCs w:val="26"/>
              </w:rPr>
            </w:pPr>
            <w:r w:rsidRPr="00662CE6">
              <w:rPr>
                <w:rFonts w:ascii="Times New Roman" w:hAnsi="Times New Roman"/>
                <w:color w:val="000000"/>
                <w:sz w:val="26"/>
                <w:szCs w:val="26"/>
              </w:rPr>
              <w:t>Nghị quyết 70/NQ-CP có quy định về mở rộng phạm vi dự án nhóm C quy mô nhỏ từ tổng mức dưới 5 tỷ lên dưới 15 tỷ. Đồng nghĩa với việc Chính phủ sẽ điều chỉnh lại Nghị định 161/ND-CP trong thời gian tới. Tuy nhiên ở thời điểm hiện tại, Chính phủ chưa điều chỉnh Nghị định 161/NĐ-CP nên Sở Xây dựng đồng ý bỏ căn cứ này ra khỏi Nghị quyết. Khi nào có sự điều chỉnh thì sẽ kiến nghị sau.</w:t>
            </w:r>
          </w:p>
        </w:tc>
      </w:tr>
      <w:tr w:rsidR="00FF793F" w:rsidRPr="00662CE6" w:rsidTr="00FF793F">
        <w:trPr>
          <w:tblCellSpacing w:w="0" w:type="dxa"/>
        </w:trPr>
        <w:tc>
          <w:tcPr>
            <w:tcW w:w="254" w:type="pct"/>
            <w:shd w:val="clear" w:color="auto" w:fill="FFFFFF"/>
            <w:vAlign w:val="center"/>
          </w:tcPr>
          <w:p w:rsidR="00FF793F" w:rsidRPr="00662CE6" w:rsidRDefault="00FF793F" w:rsidP="00907CD3">
            <w:pPr>
              <w:spacing w:before="120" w:line="234" w:lineRule="atLeast"/>
              <w:jc w:val="center"/>
              <w:rPr>
                <w:rFonts w:ascii="Times New Roman" w:hAnsi="Times New Roman"/>
                <w:b/>
                <w:bCs/>
                <w:color w:val="000000"/>
                <w:sz w:val="26"/>
                <w:szCs w:val="26"/>
              </w:rPr>
            </w:pPr>
            <w:r w:rsidRPr="00662CE6">
              <w:rPr>
                <w:rFonts w:ascii="Times New Roman" w:hAnsi="Times New Roman"/>
                <w:b/>
                <w:bCs/>
                <w:color w:val="000000"/>
                <w:sz w:val="26"/>
                <w:szCs w:val="26"/>
              </w:rPr>
              <w:t>7</w:t>
            </w:r>
          </w:p>
        </w:tc>
        <w:tc>
          <w:tcPr>
            <w:tcW w:w="839" w:type="pct"/>
            <w:shd w:val="clear" w:color="auto" w:fill="FFFFFF"/>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Các đơn vị còn lại</w:t>
            </w:r>
          </w:p>
        </w:tc>
        <w:tc>
          <w:tcPr>
            <w:tcW w:w="1369" w:type="pct"/>
            <w:shd w:val="clear" w:color="auto" w:fill="FFFFFF"/>
            <w:tcMar>
              <w:top w:w="0" w:type="dxa"/>
              <w:left w:w="29" w:type="dxa"/>
              <w:bottom w:w="0" w:type="dxa"/>
              <w:right w:w="29" w:type="dxa"/>
            </w:tcMar>
            <w:vAlign w:val="center"/>
          </w:tcPr>
          <w:p w:rsidR="00FF793F" w:rsidRPr="00662CE6" w:rsidRDefault="00FF793F" w:rsidP="00907CD3">
            <w:pPr>
              <w:spacing w:before="120" w:line="234" w:lineRule="atLeast"/>
              <w:jc w:val="center"/>
              <w:rPr>
                <w:rFonts w:ascii="Times New Roman" w:hAnsi="Times New Roman"/>
                <w:bCs/>
                <w:color w:val="000000"/>
                <w:sz w:val="26"/>
                <w:szCs w:val="26"/>
              </w:rPr>
            </w:pPr>
            <w:r w:rsidRPr="00662CE6">
              <w:rPr>
                <w:rFonts w:ascii="Times New Roman" w:hAnsi="Times New Roman"/>
                <w:bCs/>
                <w:color w:val="000000"/>
                <w:sz w:val="26"/>
                <w:szCs w:val="26"/>
              </w:rPr>
              <w:t>Không có ý kiến hoặc có văn bản thống nhất với dự thảo</w:t>
            </w:r>
          </w:p>
        </w:tc>
        <w:tc>
          <w:tcPr>
            <w:tcW w:w="2537" w:type="pct"/>
            <w:shd w:val="clear" w:color="auto" w:fill="FFFFFF"/>
            <w:tcMar>
              <w:top w:w="0" w:type="dxa"/>
              <w:left w:w="29" w:type="dxa"/>
              <w:bottom w:w="0" w:type="dxa"/>
              <w:right w:w="29" w:type="dxa"/>
            </w:tcMar>
            <w:vAlign w:val="center"/>
          </w:tcPr>
          <w:p w:rsidR="00FF793F" w:rsidRPr="00662CE6" w:rsidRDefault="00FF793F" w:rsidP="00907CD3">
            <w:pPr>
              <w:spacing w:before="120" w:line="234" w:lineRule="atLeast"/>
              <w:jc w:val="center"/>
              <w:rPr>
                <w:rFonts w:ascii="Times New Roman" w:hAnsi="Times New Roman"/>
                <w:bCs/>
                <w:color w:val="000000"/>
                <w:sz w:val="26"/>
                <w:szCs w:val="26"/>
                <w:lang w:val="vi-VN"/>
              </w:rPr>
            </w:pPr>
          </w:p>
        </w:tc>
      </w:tr>
    </w:tbl>
    <w:p w:rsidR="00FF793F" w:rsidRPr="00662CE6" w:rsidRDefault="00E6349A" w:rsidP="00E6349A">
      <w:pPr>
        <w:shd w:val="clear" w:color="auto" w:fill="FFFFFF"/>
        <w:spacing w:before="120" w:line="234" w:lineRule="atLeast"/>
        <w:ind w:firstLine="720"/>
        <w:rPr>
          <w:rFonts w:ascii="Times New Roman" w:hAnsi="Times New Roman"/>
          <w:bCs/>
          <w:szCs w:val="28"/>
        </w:rPr>
      </w:pPr>
      <w:r w:rsidRPr="00662CE6">
        <w:rPr>
          <w:rFonts w:ascii="Times New Roman" w:hAnsi="Times New Roman"/>
          <w:color w:val="000000"/>
          <w:szCs w:val="28"/>
          <w:lang w:val="vi-VN"/>
        </w:rPr>
        <w:t xml:space="preserve">Trên đây là tổng hợp các ý kiến góp ý của các đơn vị đối với dự thảo </w:t>
      </w:r>
      <w:r w:rsidRPr="00662CE6">
        <w:rPr>
          <w:rFonts w:ascii="Times New Roman" w:hAnsi="Times New Roman"/>
          <w:bCs/>
          <w:color w:val="000000"/>
          <w:szCs w:val="28"/>
        </w:rPr>
        <w:t xml:space="preserve">Nghị quyết </w:t>
      </w:r>
      <w:r w:rsidRPr="00662CE6">
        <w:rPr>
          <w:rFonts w:ascii="Times New Roman" w:hAnsi="Times New Roman"/>
          <w:bCs/>
          <w:szCs w:val="28"/>
          <w:lang w:val="vi-VN"/>
        </w:rPr>
        <w:t xml:space="preserve">Quy định </w:t>
      </w:r>
      <w:r w:rsidRPr="00662CE6">
        <w:rPr>
          <w:rFonts w:ascii="Times New Roman" w:hAnsi="Times New Roman"/>
          <w:bCs/>
          <w:szCs w:val="28"/>
        </w:rPr>
        <w:t xml:space="preserve">nội dung, định </w:t>
      </w:r>
      <w:r w:rsidRPr="00662CE6">
        <w:rPr>
          <w:rFonts w:ascii="Times New Roman" w:hAnsi="Times New Roman"/>
          <w:bCs/>
          <w:szCs w:val="28"/>
          <w:lang w:val="vi-VN"/>
        </w:rPr>
        <w:t xml:space="preserve">mức </w:t>
      </w:r>
      <w:r w:rsidRPr="00662CE6">
        <w:rPr>
          <w:rFonts w:ascii="Times New Roman" w:hAnsi="Times New Roman"/>
          <w:bCs/>
          <w:szCs w:val="28"/>
        </w:rPr>
        <w:t xml:space="preserve">hỗ trợ </w:t>
      </w:r>
      <w:r w:rsidRPr="00662CE6">
        <w:rPr>
          <w:rFonts w:ascii="Times New Roman" w:hAnsi="Times New Roman"/>
          <w:bCs/>
          <w:szCs w:val="28"/>
          <w:lang w:val="vi-VN"/>
        </w:rPr>
        <w:t>chi phí chuẩn bị và quản lý thực hiện dự án đối với một số dự án thuộc Chương trình Mục tiêu Quốc gia giai đoạn 2016-2020</w:t>
      </w:r>
      <w:r w:rsidRPr="00662CE6">
        <w:rPr>
          <w:rFonts w:ascii="Times New Roman" w:hAnsi="Times New Roman"/>
          <w:bCs/>
          <w:szCs w:val="28"/>
        </w:rPr>
        <w:t xml:space="preserve"> trên địa bàn tỉnh Hà Tĩnh./.</w:t>
      </w:r>
    </w:p>
    <w:p w:rsidR="00E6349A" w:rsidRPr="00662CE6" w:rsidRDefault="00FF793F" w:rsidP="00FF793F">
      <w:pPr>
        <w:shd w:val="clear" w:color="auto" w:fill="FFFFFF"/>
        <w:spacing w:before="120" w:line="234" w:lineRule="atLeast"/>
        <w:ind w:left="10080"/>
        <w:rPr>
          <w:rFonts w:ascii="Times New Roman" w:hAnsi="Times New Roman"/>
          <w:szCs w:val="28"/>
          <w:lang w:val="nl-NL"/>
        </w:rPr>
      </w:pPr>
      <w:r w:rsidRPr="00662CE6">
        <w:rPr>
          <w:rFonts w:ascii="Times New Roman" w:hAnsi="Times New Roman"/>
          <w:b/>
          <w:lang w:val="nl-NL"/>
        </w:rPr>
        <w:t>SỞ XÂY DỰNG HÀ TĨNH</w:t>
      </w:r>
    </w:p>
    <w:p w:rsidR="00907CD3" w:rsidRPr="00662CE6" w:rsidRDefault="00907CD3" w:rsidP="00135E37">
      <w:pPr>
        <w:shd w:val="clear" w:color="auto" w:fill="FFFFFF"/>
        <w:spacing w:before="120" w:line="234" w:lineRule="atLeast"/>
        <w:ind w:firstLine="720"/>
        <w:jc w:val="both"/>
        <w:rPr>
          <w:rFonts w:ascii="Times New Roman" w:hAnsi="Times New Roman"/>
          <w:color w:val="000000"/>
          <w:szCs w:val="28"/>
          <w:lang w:val="vi-VN"/>
        </w:rPr>
      </w:pPr>
    </w:p>
    <w:sectPr w:rsidR="00907CD3" w:rsidRPr="00662CE6" w:rsidSect="002C7D1E">
      <w:footerReference w:type="even" r:id="rId8"/>
      <w:footerReference w:type="default" r:id="rId9"/>
      <w:pgSz w:w="16840" w:h="11907" w:orient="landscape" w:code="9"/>
      <w:pgMar w:top="851" w:right="811" w:bottom="924" w:left="1701" w:header="720" w:footer="720" w:gutter="0"/>
      <w:cols w:space="720"/>
      <w:titlePg/>
      <w:docGrid w:linePitch="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63" w:rsidRDefault="00DA0C63">
      <w:r>
        <w:separator/>
      </w:r>
    </w:p>
  </w:endnote>
  <w:endnote w:type="continuationSeparator" w:id="0">
    <w:p w:rsidR="00DA0C63" w:rsidRDefault="00DA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31" w:rsidRDefault="00155B31" w:rsidP="00EF23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5B31" w:rsidRDefault="00155B31" w:rsidP="004421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31" w:rsidRPr="00FF793F" w:rsidRDefault="00FF793F" w:rsidP="00FF793F">
    <w:pPr>
      <w:pStyle w:val="Footer"/>
      <w:jc w:val="center"/>
    </w:pPr>
    <w:r>
      <w:fldChar w:fldCharType="begin"/>
    </w:r>
    <w:r>
      <w:instrText xml:space="preserve"> PAGE   \* MERGEFORMAT </w:instrText>
    </w:r>
    <w:r>
      <w:fldChar w:fldCharType="separate"/>
    </w:r>
    <w:r w:rsidR="00662CE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63" w:rsidRDefault="00DA0C63">
      <w:r>
        <w:separator/>
      </w:r>
    </w:p>
  </w:footnote>
  <w:footnote w:type="continuationSeparator" w:id="0">
    <w:p w:rsidR="00DA0C63" w:rsidRDefault="00DA0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3F88"/>
    <w:multiLevelType w:val="hybridMultilevel"/>
    <w:tmpl w:val="8F88EB34"/>
    <w:lvl w:ilvl="0" w:tplc="B198859E">
      <w:start w:val="15"/>
      <w:numFmt w:val="bullet"/>
      <w:lvlText w:val="-"/>
      <w:lvlJc w:val="left"/>
      <w:pPr>
        <w:ind w:left="961" w:hanging="360"/>
      </w:pPr>
      <w:rPr>
        <w:rFonts w:ascii="Times New Roman" w:eastAsia="Times New Roman" w:hAnsi="Times New Roman" w:cs="Times New Roman" w:hint="default"/>
        <w:i w:val="0"/>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
    <w:nsid w:val="265E20F9"/>
    <w:multiLevelType w:val="hybridMultilevel"/>
    <w:tmpl w:val="E02EC9D4"/>
    <w:lvl w:ilvl="0" w:tplc="0D943D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720F38"/>
    <w:multiLevelType w:val="hybridMultilevel"/>
    <w:tmpl w:val="D41029B0"/>
    <w:lvl w:ilvl="0" w:tplc="C1A4453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E5690F"/>
    <w:multiLevelType w:val="hybridMultilevel"/>
    <w:tmpl w:val="AF0849B8"/>
    <w:lvl w:ilvl="0" w:tplc="763E9C38">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3141EC"/>
    <w:multiLevelType w:val="hybridMultilevel"/>
    <w:tmpl w:val="FEB28D50"/>
    <w:lvl w:ilvl="0" w:tplc="B91C03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F61E6"/>
    <w:multiLevelType w:val="hybridMultilevel"/>
    <w:tmpl w:val="A8A2D120"/>
    <w:lvl w:ilvl="0" w:tplc="C82A9A9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92FBE"/>
    <w:multiLevelType w:val="hybridMultilevel"/>
    <w:tmpl w:val="4CDC105C"/>
    <w:lvl w:ilvl="0" w:tplc="1C148DD2">
      <w:start w:val="1"/>
      <w:numFmt w:val="decimal"/>
      <w:lvlText w:val="%1."/>
      <w:lvlJc w:val="left"/>
      <w:pPr>
        <w:ind w:left="961" w:hanging="360"/>
      </w:pPr>
      <w:rPr>
        <w:rFonts w:hint="default"/>
        <w:color w:val="000000"/>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nsid w:val="3EF27984"/>
    <w:multiLevelType w:val="hybridMultilevel"/>
    <w:tmpl w:val="DC1EF62C"/>
    <w:lvl w:ilvl="0" w:tplc="EE2254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341A4"/>
    <w:multiLevelType w:val="hybridMultilevel"/>
    <w:tmpl w:val="7B34118A"/>
    <w:lvl w:ilvl="0" w:tplc="A0ECF5D4">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53716243"/>
    <w:multiLevelType w:val="multilevel"/>
    <w:tmpl w:val="5C22E182"/>
    <w:lvl w:ilvl="0">
      <w:start w:val="1"/>
      <w:numFmt w:val="bullet"/>
      <w:lvlText w:val=""/>
      <w:lvlJc w:val="left"/>
      <w:pPr>
        <w:tabs>
          <w:tab w:val="num" w:pos="1520"/>
        </w:tabs>
        <w:ind w:left="1520" w:hanging="360"/>
      </w:pPr>
      <w:rPr>
        <w:rFonts w:ascii="Symbol" w:hAnsi="Symbol" w:hint="default"/>
      </w:rPr>
    </w:lvl>
    <w:lvl w:ilvl="1">
      <w:start w:val="1"/>
      <w:numFmt w:val="bullet"/>
      <w:lvlText w:val="o"/>
      <w:lvlJc w:val="left"/>
      <w:pPr>
        <w:tabs>
          <w:tab w:val="num" w:pos="2240"/>
        </w:tabs>
        <w:ind w:left="2240" w:hanging="360"/>
      </w:pPr>
      <w:rPr>
        <w:rFonts w:ascii="Courier New" w:hAnsi="Courier New" w:cs="Courier New" w:hint="default"/>
      </w:rPr>
    </w:lvl>
    <w:lvl w:ilvl="2">
      <w:start w:val="1"/>
      <w:numFmt w:val="bullet"/>
      <w:lvlText w:val=""/>
      <w:lvlJc w:val="left"/>
      <w:pPr>
        <w:tabs>
          <w:tab w:val="num" w:pos="2960"/>
        </w:tabs>
        <w:ind w:left="2960" w:hanging="360"/>
      </w:pPr>
      <w:rPr>
        <w:rFonts w:ascii="Wingdings" w:hAnsi="Wingdings" w:hint="default"/>
      </w:rPr>
    </w:lvl>
    <w:lvl w:ilvl="3">
      <w:start w:val="1"/>
      <w:numFmt w:val="bullet"/>
      <w:lvlText w:val=""/>
      <w:lvlJc w:val="left"/>
      <w:pPr>
        <w:tabs>
          <w:tab w:val="num" w:pos="3680"/>
        </w:tabs>
        <w:ind w:left="3680" w:hanging="360"/>
      </w:pPr>
      <w:rPr>
        <w:rFonts w:ascii="Symbol" w:hAnsi="Symbol" w:hint="default"/>
      </w:rPr>
    </w:lvl>
    <w:lvl w:ilvl="4">
      <w:start w:val="1"/>
      <w:numFmt w:val="bullet"/>
      <w:lvlText w:val="o"/>
      <w:lvlJc w:val="left"/>
      <w:pPr>
        <w:tabs>
          <w:tab w:val="num" w:pos="4400"/>
        </w:tabs>
        <w:ind w:left="4400" w:hanging="360"/>
      </w:pPr>
      <w:rPr>
        <w:rFonts w:ascii="Courier New" w:hAnsi="Courier New" w:cs="Courier New" w:hint="default"/>
      </w:rPr>
    </w:lvl>
    <w:lvl w:ilvl="5">
      <w:start w:val="1"/>
      <w:numFmt w:val="bullet"/>
      <w:lvlText w:val=""/>
      <w:lvlJc w:val="left"/>
      <w:pPr>
        <w:tabs>
          <w:tab w:val="num" w:pos="5120"/>
        </w:tabs>
        <w:ind w:left="5120" w:hanging="360"/>
      </w:pPr>
      <w:rPr>
        <w:rFonts w:ascii="Wingdings" w:hAnsi="Wingdings" w:hint="default"/>
      </w:rPr>
    </w:lvl>
    <w:lvl w:ilvl="6">
      <w:start w:val="1"/>
      <w:numFmt w:val="bullet"/>
      <w:lvlText w:val=""/>
      <w:lvlJc w:val="left"/>
      <w:pPr>
        <w:tabs>
          <w:tab w:val="num" w:pos="5840"/>
        </w:tabs>
        <w:ind w:left="5840" w:hanging="360"/>
      </w:pPr>
      <w:rPr>
        <w:rFonts w:ascii="Symbol" w:hAnsi="Symbol" w:hint="default"/>
      </w:rPr>
    </w:lvl>
    <w:lvl w:ilvl="7">
      <w:start w:val="1"/>
      <w:numFmt w:val="bullet"/>
      <w:lvlText w:val="o"/>
      <w:lvlJc w:val="left"/>
      <w:pPr>
        <w:tabs>
          <w:tab w:val="num" w:pos="6560"/>
        </w:tabs>
        <w:ind w:left="6560" w:hanging="360"/>
      </w:pPr>
      <w:rPr>
        <w:rFonts w:ascii="Courier New" w:hAnsi="Courier New" w:cs="Courier New" w:hint="default"/>
      </w:rPr>
    </w:lvl>
    <w:lvl w:ilvl="8">
      <w:start w:val="1"/>
      <w:numFmt w:val="bullet"/>
      <w:lvlText w:val=""/>
      <w:lvlJc w:val="left"/>
      <w:pPr>
        <w:tabs>
          <w:tab w:val="num" w:pos="7280"/>
        </w:tabs>
        <w:ind w:left="7280" w:hanging="360"/>
      </w:pPr>
      <w:rPr>
        <w:rFonts w:ascii="Wingdings" w:hAnsi="Wingdings" w:hint="default"/>
      </w:rPr>
    </w:lvl>
  </w:abstractNum>
  <w:abstractNum w:abstractNumId="10">
    <w:nsid w:val="55E44C77"/>
    <w:multiLevelType w:val="hybridMultilevel"/>
    <w:tmpl w:val="D188DE08"/>
    <w:lvl w:ilvl="0" w:tplc="F3BAB29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176340A"/>
    <w:multiLevelType w:val="hybridMultilevel"/>
    <w:tmpl w:val="5C22E182"/>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cs="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12">
    <w:nsid w:val="68513B0B"/>
    <w:multiLevelType w:val="hybridMultilevel"/>
    <w:tmpl w:val="CFEAFF76"/>
    <w:lvl w:ilvl="0" w:tplc="04090009">
      <w:start w:val="1"/>
      <w:numFmt w:val="bullet"/>
      <w:lvlText w:val=""/>
      <w:lvlJc w:val="left"/>
      <w:pPr>
        <w:tabs>
          <w:tab w:val="num" w:pos="1520"/>
        </w:tabs>
        <w:ind w:left="1520" w:hanging="360"/>
      </w:pPr>
      <w:rPr>
        <w:rFonts w:ascii="Wingdings" w:hAnsi="Wingdings" w:hint="default"/>
      </w:rPr>
    </w:lvl>
    <w:lvl w:ilvl="1" w:tplc="04090003" w:tentative="1">
      <w:start w:val="1"/>
      <w:numFmt w:val="bullet"/>
      <w:lvlText w:val="o"/>
      <w:lvlJc w:val="left"/>
      <w:pPr>
        <w:tabs>
          <w:tab w:val="num" w:pos="2240"/>
        </w:tabs>
        <w:ind w:left="2240" w:hanging="360"/>
      </w:pPr>
      <w:rPr>
        <w:rFonts w:ascii="Courier New" w:hAnsi="Courier New" w:cs="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13">
    <w:nsid w:val="6B781E0A"/>
    <w:multiLevelType w:val="hybridMultilevel"/>
    <w:tmpl w:val="1F92954E"/>
    <w:lvl w:ilvl="0" w:tplc="2EEA414A">
      <w:start w:val="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6BFD1400"/>
    <w:multiLevelType w:val="hybridMultilevel"/>
    <w:tmpl w:val="24C4C794"/>
    <w:lvl w:ilvl="0" w:tplc="451CA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9"/>
  </w:num>
  <w:num w:numId="3">
    <w:abstractNumId w:val="12"/>
  </w:num>
  <w:num w:numId="4">
    <w:abstractNumId w:val="10"/>
  </w:num>
  <w:num w:numId="5">
    <w:abstractNumId w:val="5"/>
  </w:num>
  <w:num w:numId="6">
    <w:abstractNumId w:val="2"/>
  </w:num>
  <w:num w:numId="7">
    <w:abstractNumId w:val="14"/>
  </w:num>
  <w:num w:numId="8">
    <w:abstractNumId w:val="8"/>
  </w:num>
  <w:num w:numId="9">
    <w:abstractNumId w:val="0"/>
  </w:num>
  <w:num w:numId="10">
    <w:abstractNumId w:val="6"/>
  </w:num>
  <w:num w:numId="11">
    <w:abstractNumId w:val="3"/>
  </w:num>
  <w:num w:numId="12">
    <w:abstractNumId w:val="13"/>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A1"/>
    <w:rsid w:val="000008A3"/>
    <w:rsid w:val="00000C5C"/>
    <w:rsid w:val="00000E1C"/>
    <w:rsid w:val="00001DC9"/>
    <w:rsid w:val="0000415D"/>
    <w:rsid w:val="00004276"/>
    <w:rsid w:val="0000540D"/>
    <w:rsid w:val="00005B2E"/>
    <w:rsid w:val="00006305"/>
    <w:rsid w:val="00006E38"/>
    <w:rsid w:val="00007370"/>
    <w:rsid w:val="0000746B"/>
    <w:rsid w:val="00007D12"/>
    <w:rsid w:val="000119CE"/>
    <w:rsid w:val="00016850"/>
    <w:rsid w:val="0002033E"/>
    <w:rsid w:val="0002618D"/>
    <w:rsid w:val="00027AA8"/>
    <w:rsid w:val="00031756"/>
    <w:rsid w:val="000329B4"/>
    <w:rsid w:val="00033D4C"/>
    <w:rsid w:val="00034E8B"/>
    <w:rsid w:val="00035FDA"/>
    <w:rsid w:val="000365EC"/>
    <w:rsid w:val="000377B9"/>
    <w:rsid w:val="000400FB"/>
    <w:rsid w:val="0004389B"/>
    <w:rsid w:val="0004450B"/>
    <w:rsid w:val="00044A1D"/>
    <w:rsid w:val="00044E06"/>
    <w:rsid w:val="000505AC"/>
    <w:rsid w:val="00053268"/>
    <w:rsid w:val="00054437"/>
    <w:rsid w:val="000558F4"/>
    <w:rsid w:val="00055B84"/>
    <w:rsid w:val="000562E5"/>
    <w:rsid w:val="0006068B"/>
    <w:rsid w:val="00061412"/>
    <w:rsid w:val="00072FAF"/>
    <w:rsid w:val="00073C78"/>
    <w:rsid w:val="0007484C"/>
    <w:rsid w:val="000754B5"/>
    <w:rsid w:val="00076FB8"/>
    <w:rsid w:val="0007735A"/>
    <w:rsid w:val="0008001D"/>
    <w:rsid w:val="0008121D"/>
    <w:rsid w:val="0008198A"/>
    <w:rsid w:val="00081C2E"/>
    <w:rsid w:val="00081D6F"/>
    <w:rsid w:val="000851E4"/>
    <w:rsid w:val="000852A4"/>
    <w:rsid w:val="00087520"/>
    <w:rsid w:val="0008777E"/>
    <w:rsid w:val="0009612C"/>
    <w:rsid w:val="000A0CBD"/>
    <w:rsid w:val="000A16CC"/>
    <w:rsid w:val="000A1FF6"/>
    <w:rsid w:val="000A24F1"/>
    <w:rsid w:val="000A2D84"/>
    <w:rsid w:val="000A2EC1"/>
    <w:rsid w:val="000A3144"/>
    <w:rsid w:val="000A336F"/>
    <w:rsid w:val="000A3894"/>
    <w:rsid w:val="000A4F83"/>
    <w:rsid w:val="000A5390"/>
    <w:rsid w:val="000A56EE"/>
    <w:rsid w:val="000A7431"/>
    <w:rsid w:val="000A7DF9"/>
    <w:rsid w:val="000B0F44"/>
    <w:rsid w:val="000B28BD"/>
    <w:rsid w:val="000B4FCA"/>
    <w:rsid w:val="000B51C6"/>
    <w:rsid w:val="000B586A"/>
    <w:rsid w:val="000C1EDA"/>
    <w:rsid w:val="000C1FA3"/>
    <w:rsid w:val="000C57D1"/>
    <w:rsid w:val="000D09F7"/>
    <w:rsid w:val="000D15CF"/>
    <w:rsid w:val="000D52AC"/>
    <w:rsid w:val="000E2E79"/>
    <w:rsid w:val="000E4C44"/>
    <w:rsid w:val="000E5437"/>
    <w:rsid w:val="000E5C38"/>
    <w:rsid w:val="000E5F05"/>
    <w:rsid w:val="000E6111"/>
    <w:rsid w:val="000E6E9A"/>
    <w:rsid w:val="000E715F"/>
    <w:rsid w:val="000E7FAF"/>
    <w:rsid w:val="000F0D49"/>
    <w:rsid w:val="000F6EDA"/>
    <w:rsid w:val="000F76BF"/>
    <w:rsid w:val="001018B9"/>
    <w:rsid w:val="00102DEF"/>
    <w:rsid w:val="001040DA"/>
    <w:rsid w:val="00105199"/>
    <w:rsid w:val="0011097F"/>
    <w:rsid w:val="0011439A"/>
    <w:rsid w:val="0011650C"/>
    <w:rsid w:val="001207F0"/>
    <w:rsid w:val="001250DD"/>
    <w:rsid w:val="00131BB2"/>
    <w:rsid w:val="001330A5"/>
    <w:rsid w:val="001332D5"/>
    <w:rsid w:val="00135E37"/>
    <w:rsid w:val="00137609"/>
    <w:rsid w:val="001406FE"/>
    <w:rsid w:val="00142789"/>
    <w:rsid w:val="00143A01"/>
    <w:rsid w:val="00145E0C"/>
    <w:rsid w:val="00150E8B"/>
    <w:rsid w:val="001526EB"/>
    <w:rsid w:val="00152A8C"/>
    <w:rsid w:val="00155AF7"/>
    <w:rsid w:val="00155B31"/>
    <w:rsid w:val="00155E25"/>
    <w:rsid w:val="00156A9A"/>
    <w:rsid w:val="001571FA"/>
    <w:rsid w:val="00157556"/>
    <w:rsid w:val="0016061B"/>
    <w:rsid w:val="0016213A"/>
    <w:rsid w:val="00163903"/>
    <w:rsid w:val="00167EB3"/>
    <w:rsid w:val="00171F07"/>
    <w:rsid w:val="001734DB"/>
    <w:rsid w:val="0017500B"/>
    <w:rsid w:val="00175F62"/>
    <w:rsid w:val="0017623A"/>
    <w:rsid w:val="00181C7B"/>
    <w:rsid w:val="001834A8"/>
    <w:rsid w:val="00184C13"/>
    <w:rsid w:val="0018548D"/>
    <w:rsid w:val="00185618"/>
    <w:rsid w:val="00185BE3"/>
    <w:rsid w:val="00185F77"/>
    <w:rsid w:val="001876D1"/>
    <w:rsid w:val="00191FA1"/>
    <w:rsid w:val="0019554D"/>
    <w:rsid w:val="00195568"/>
    <w:rsid w:val="001A21DF"/>
    <w:rsid w:val="001A2FAA"/>
    <w:rsid w:val="001A3B50"/>
    <w:rsid w:val="001A42FA"/>
    <w:rsid w:val="001A4B3A"/>
    <w:rsid w:val="001B49D7"/>
    <w:rsid w:val="001B54AC"/>
    <w:rsid w:val="001B5B97"/>
    <w:rsid w:val="001C01CD"/>
    <w:rsid w:val="001C37BB"/>
    <w:rsid w:val="001C3F37"/>
    <w:rsid w:val="001C7AE1"/>
    <w:rsid w:val="001D174D"/>
    <w:rsid w:val="001D5097"/>
    <w:rsid w:val="001D56DC"/>
    <w:rsid w:val="001D6433"/>
    <w:rsid w:val="001E016F"/>
    <w:rsid w:val="001E0DAD"/>
    <w:rsid w:val="001E1C2A"/>
    <w:rsid w:val="001F00C8"/>
    <w:rsid w:val="001F3339"/>
    <w:rsid w:val="001F50C0"/>
    <w:rsid w:val="00202A8F"/>
    <w:rsid w:val="002035A1"/>
    <w:rsid w:val="00204D63"/>
    <w:rsid w:val="002067FC"/>
    <w:rsid w:val="00212717"/>
    <w:rsid w:val="002218E9"/>
    <w:rsid w:val="0022292E"/>
    <w:rsid w:val="0022353D"/>
    <w:rsid w:val="0022504F"/>
    <w:rsid w:val="00225FAF"/>
    <w:rsid w:val="00231F49"/>
    <w:rsid w:val="00233CE3"/>
    <w:rsid w:val="00241CFC"/>
    <w:rsid w:val="00242BC8"/>
    <w:rsid w:val="002436B7"/>
    <w:rsid w:val="002464CB"/>
    <w:rsid w:val="0024704E"/>
    <w:rsid w:val="002506ED"/>
    <w:rsid w:val="0025074E"/>
    <w:rsid w:val="00251E8E"/>
    <w:rsid w:val="002536AC"/>
    <w:rsid w:val="00254357"/>
    <w:rsid w:val="00256321"/>
    <w:rsid w:val="00257C29"/>
    <w:rsid w:val="00257DFC"/>
    <w:rsid w:val="002606C3"/>
    <w:rsid w:val="0026070F"/>
    <w:rsid w:val="00260B2B"/>
    <w:rsid w:val="002624B9"/>
    <w:rsid w:val="00262B40"/>
    <w:rsid w:val="002655BF"/>
    <w:rsid w:val="002665D7"/>
    <w:rsid w:val="00271679"/>
    <w:rsid w:val="00271920"/>
    <w:rsid w:val="002745BC"/>
    <w:rsid w:val="0027689A"/>
    <w:rsid w:val="00280521"/>
    <w:rsid w:val="00280D53"/>
    <w:rsid w:val="002840E0"/>
    <w:rsid w:val="002917E4"/>
    <w:rsid w:val="00292AB1"/>
    <w:rsid w:val="00295890"/>
    <w:rsid w:val="0029703E"/>
    <w:rsid w:val="002A01E6"/>
    <w:rsid w:val="002A39B1"/>
    <w:rsid w:val="002A76C3"/>
    <w:rsid w:val="002B01EE"/>
    <w:rsid w:val="002B7486"/>
    <w:rsid w:val="002C26DB"/>
    <w:rsid w:val="002C5505"/>
    <w:rsid w:val="002C65AE"/>
    <w:rsid w:val="002C694C"/>
    <w:rsid w:val="002C7513"/>
    <w:rsid w:val="002C7D1E"/>
    <w:rsid w:val="002D2DCB"/>
    <w:rsid w:val="002D3BC9"/>
    <w:rsid w:val="002D59E4"/>
    <w:rsid w:val="002E0453"/>
    <w:rsid w:val="002E3964"/>
    <w:rsid w:val="002E511F"/>
    <w:rsid w:val="002F0CEF"/>
    <w:rsid w:val="002F555F"/>
    <w:rsid w:val="002F60E9"/>
    <w:rsid w:val="003009E4"/>
    <w:rsid w:val="0030372D"/>
    <w:rsid w:val="00304724"/>
    <w:rsid w:val="003053E3"/>
    <w:rsid w:val="00306353"/>
    <w:rsid w:val="00310050"/>
    <w:rsid w:val="00310223"/>
    <w:rsid w:val="00310DBD"/>
    <w:rsid w:val="00316882"/>
    <w:rsid w:val="003208DE"/>
    <w:rsid w:val="00323A9C"/>
    <w:rsid w:val="00323E84"/>
    <w:rsid w:val="00324B8E"/>
    <w:rsid w:val="00326FD1"/>
    <w:rsid w:val="003312C7"/>
    <w:rsid w:val="003314DF"/>
    <w:rsid w:val="0033242F"/>
    <w:rsid w:val="003333C3"/>
    <w:rsid w:val="00335FFF"/>
    <w:rsid w:val="003372CC"/>
    <w:rsid w:val="003460D4"/>
    <w:rsid w:val="00346C02"/>
    <w:rsid w:val="00350E86"/>
    <w:rsid w:val="00350FED"/>
    <w:rsid w:val="00352074"/>
    <w:rsid w:val="0035261A"/>
    <w:rsid w:val="0035293E"/>
    <w:rsid w:val="0035594D"/>
    <w:rsid w:val="00355A36"/>
    <w:rsid w:val="0035608D"/>
    <w:rsid w:val="003625DE"/>
    <w:rsid w:val="00362937"/>
    <w:rsid w:val="0036296C"/>
    <w:rsid w:val="00362A4B"/>
    <w:rsid w:val="0036419C"/>
    <w:rsid w:val="003648C4"/>
    <w:rsid w:val="0036495F"/>
    <w:rsid w:val="00365F2D"/>
    <w:rsid w:val="00366ACC"/>
    <w:rsid w:val="0036791F"/>
    <w:rsid w:val="003738A5"/>
    <w:rsid w:val="00374DFE"/>
    <w:rsid w:val="003750C4"/>
    <w:rsid w:val="00376EA0"/>
    <w:rsid w:val="003837BC"/>
    <w:rsid w:val="003855B4"/>
    <w:rsid w:val="00390389"/>
    <w:rsid w:val="003904EF"/>
    <w:rsid w:val="0039132F"/>
    <w:rsid w:val="003973CE"/>
    <w:rsid w:val="00397F24"/>
    <w:rsid w:val="003A05AF"/>
    <w:rsid w:val="003A1A80"/>
    <w:rsid w:val="003A3603"/>
    <w:rsid w:val="003A365F"/>
    <w:rsid w:val="003B060C"/>
    <w:rsid w:val="003B6B10"/>
    <w:rsid w:val="003C06FD"/>
    <w:rsid w:val="003C1837"/>
    <w:rsid w:val="003C20CF"/>
    <w:rsid w:val="003C5059"/>
    <w:rsid w:val="003C5A10"/>
    <w:rsid w:val="003D1A31"/>
    <w:rsid w:val="003D69E9"/>
    <w:rsid w:val="003D7AC8"/>
    <w:rsid w:val="003D7E76"/>
    <w:rsid w:val="003E0D00"/>
    <w:rsid w:val="003E229B"/>
    <w:rsid w:val="003E4FB3"/>
    <w:rsid w:val="003E51EA"/>
    <w:rsid w:val="003F16AE"/>
    <w:rsid w:val="003F1EE9"/>
    <w:rsid w:val="003F59B4"/>
    <w:rsid w:val="003F7A16"/>
    <w:rsid w:val="00400580"/>
    <w:rsid w:val="004006A4"/>
    <w:rsid w:val="0040241F"/>
    <w:rsid w:val="004027DA"/>
    <w:rsid w:val="00404F8C"/>
    <w:rsid w:val="00406018"/>
    <w:rsid w:val="004063B5"/>
    <w:rsid w:val="00410A30"/>
    <w:rsid w:val="00411941"/>
    <w:rsid w:val="00420520"/>
    <w:rsid w:val="00424FCD"/>
    <w:rsid w:val="0042639B"/>
    <w:rsid w:val="004274E1"/>
    <w:rsid w:val="00433026"/>
    <w:rsid w:val="0043627B"/>
    <w:rsid w:val="00436FF3"/>
    <w:rsid w:val="00440CCE"/>
    <w:rsid w:val="00440ED6"/>
    <w:rsid w:val="00441B7B"/>
    <w:rsid w:val="004420DD"/>
    <w:rsid w:val="00442100"/>
    <w:rsid w:val="004421D2"/>
    <w:rsid w:val="00442881"/>
    <w:rsid w:val="00446B94"/>
    <w:rsid w:val="00453657"/>
    <w:rsid w:val="00461494"/>
    <w:rsid w:val="00461C45"/>
    <w:rsid w:val="00463C85"/>
    <w:rsid w:val="00465613"/>
    <w:rsid w:val="00466954"/>
    <w:rsid w:val="004672D8"/>
    <w:rsid w:val="00473068"/>
    <w:rsid w:val="0047328B"/>
    <w:rsid w:val="004747E7"/>
    <w:rsid w:val="00477D0D"/>
    <w:rsid w:val="00482F38"/>
    <w:rsid w:val="00484694"/>
    <w:rsid w:val="00491585"/>
    <w:rsid w:val="00491926"/>
    <w:rsid w:val="00492E45"/>
    <w:rsid w:val="00493AD6"/>
    <w:rsid w:val="00493B9E"/>
    <w:rsid w:val="004942B0"/>
    <w:rsid w:val="004A3606"/>
    <w:rsid w:val="004A3C74"/>
    <w:rsid w:val="004A410C"/>
    <w:rsid w:val="004A4674"/>
    <w:rsid w:val="004A64BE"/>
    <w:rsid w:val="004B0EB0"/>
    <w:rsid w:val="004B5894"/>
    <w:rsid w:val="004B7E29"/>
    <w:rsid w:val="004C0CE9"/>
    <w:rsid w:val="004C0DC3"/>
    <w:rsid w:val="004C27BD"/>
    <w:rsid w:val="004C342C"/>
    <w:rsid w:val="004C3843"/>
    <w:rsid w:val="004C3ADA"/>
    <w:rsid w:val="004C4061"/>
    <w:rsid w:val="004C4CC1"/>
    <w:rsid w:val="004D1537"/>
    <w:rsid w:val="004D365E"/>
    <w:rsid w:val="004D5DA7"/>
    <w:rsid w:val="004D6156"/>
    <w:rsid w:val="004D6197"/>
    <w:rsid w:val="004D677D"/>
    <w:rsid w:val="004D6E49"/>
    <w:rsid w:val="004E3E1B"/>
    <w:rsid w:val="004E42F4"/>
    <w:rsid w:val="004E5E29"/>
    <w:rsid w:val="004E65C9"/>
    <w:rsid w:val="004E706B"/>
    <w:rsid w:val="004E7CE7"/>
    <w:rsid w:val="004F0431"/>
    <w:rsid w:val="004F0B60"/>
    <w:rsid w:val="004F1E4C"/>
    <w:rsid w:val="004F5B1A"/>
    <w:rsid w:val="004F5B27"/>
    <w:rsid w:val="004F633C"/>
    <w:rsid w:val="004F6AAB"/>
    <w:rsid w:val="004F6E87"/>
    <w:rsid w:val="005040BD"/>
    <w:rsid w:val="0050610D"/>
    <w:rsid w:val="00506BF5"/>
    <w:rsid w:val="0050710F"/>
    <w:rsid w:val="00507826"/>
    <w:rsid w:val="00514738"/>
    <w:rsid w:val="00521880"/>
    <w:rsid w:val="005225A1"/>
    <w:rsid w:val="00524CFB"/>
    <w:rsid w:val="00525DDF"/>
    <w:rsid w:val="00527354"/>
    <w:rsid w:val="0052797D"/>
    <w:rsid w:val="00527E1C"/>
    <w:rsid w:val="00530FD2"/>
    <w:rsid w:val="00533D79"/>
    <w:rsid w:val="00536954"/>
    <w:rsid w:val="00537A01"/>
    <w:rsid w:val="00537D2C"/>
    <w:rsid w:val="005404A6"/>
    <w:rsid w:val="0054215D"/>
    <w:rsid w:val="00542CBB"/>
    <w:rsid w:val="00543AF8"/>
    <w:rsid w:val="00544069"/>
    <w:rsid w:val="00546E87"/>
    <w:rsid w:val="00552692"/>
    <w:rsid w:val="00553AD2"/>
    <w:rsid w:val="00554935"/>
    <w:rsid w:val="00555368"/>
    <w:rsid w:val="005567F1"/>
    <w:rsid w:val="0055695F"/>
    <w:rsid w:val="00556A98"/>
    <w:rsid w:val="005575DE"/>
    <w:rsid w:val="005635CA"/>
    <w:rsid w:val="00567A1A"/>
    <w:rsid w:val="005700A0"/>
    <w:rsid w:val="00570BFE"/>
    <w:rsid w:val="00571CDB"/>
    <w:rsid w:val="005726C6"/>
    <w:rsid w:val="0057669B"/>
    <w:rsid w:val="00577669"/>
    <w:rsid w:val="005776BF"/>
    <w:rsid w:val="0058011E"/>
    <w:rsid w:val="0058109E"/>
    <w:rsid w:val="00582E87"/>
    <w:rsid w:val="00591329"/>
    <w:rsid w:val="005914A7"/>
    <w:rsid w:val="005916F7"/>
    <w:rsid w:val="005940A5"/>
    <w:rsid w:val="005950B5"/>
    <w:rsid w:val="00597BED"/>
    <w:rsid w:val="005A07DC"/>
    <w:rsid w:val="005A088B"/>
    <w:rsid w:val="005A1553"/>
    <w:rsid w:val="005A161F"/>
    <w:rsid w:val="005A3A84"/>
    <w:rsid w:val="005A4779"/>
    <w:rsid w:val="005A6E8C"/>
    <w:rsid w:val="005A7D36"/>
    <w:rsid w:val="005B0CAE"/>
    <w:rsid w:val="005B20CA"/>
    <w:rsid w:val="005B2DF2"/>
    <w:rsid w:val="005B2FDF"/>
    <w:rsid w:val="005B445C"/>
    <w:rsid w:val="005B4926"/>
    <w:rsid w:val="005B5E39"/>
    <w:rsid w:val="005B6560"/>
    <w:rsid w:val="005B665B"/>
    <w:rsid w:val="005B71EF"/>
    <w:rsid w:val="005B7630"/>
    <w:rsid w:val="005C0834"/>
    <w:rsid w:val="005C0A7A"/>
    <w:rsid w:val="005C3C7A"/>
    <w:rsid w:val="005C7169"/>
    <w:rsid w:val="005D1511"/>
    <w:rsid w:val="005D7871"/>
    <w:rsid w:val="005E22AC"/>
    <w:rsid w:val="005E4A81"/>
    <w:rsid w:val="005F2B54"/>
    <w:rsid w:val="005F3AE1"/>
    <w:rsid w:val="006028D0"/>
    <w:rsid w:val="00604B11"/>
    <w:rsid w:val="00604D44"/>
    <w:rsid w:val="00605935"/>
    <w:rsid w:val="00606C65"/>
    <w:rsid w:val="006077B0"/>
    <w:rsid w:val="00607BF6"/>
    <w:rsid w:val="00610C25"/>
    <w:rsid w:val="006111E8"/>
    <w:rsid w:val="00613C2C"/>
    <w:rsid w:val="0061425E"/>
    <w:rsid w:val="00614F91"/>
    <w:rsid w:val="00620EC4"/>
    <w:rsid w:val="006235BC"/>
    <w:rsid w:val="006238D0"/>
    <w:rsid w:val="00624EB4"/>
    <w:rsid w:val="006260F6"/>
    <w:rsid w:val="0063148F"/>
    <w:rsid w:val="006337A5"/>
    <w:rsid w:val="00634B06"/>
    <w:rsid w:val="00635368"/>
    <w:rsid w:val="00635E63"/>
    <w:rsid w:val="00636392"/>
    <w:rsid w:val="00636D66"/>
    <w:rsid w:val="00636D80"/>
    <w:rsid w:val="006374FB"/>
    <w:rsid w:val="00637A40"/>
    <w:rsid w:val="00641D34"/>
    <w:rsid w:val="00646F52"/>
    <w:rsid w:val="006501EE"/>
    <w:rsid w:val="00650F35"/>
    <w:rsid w:val="00651523"/>
    <w:rsid w:val="00651A8D"/>
    <w:rsid w:val="00652776"/>
    <w:rsid w:val="0065283B"/>
    <w:rsid w:val="006537F3"/>
    <w:rsid w:val="00654272"/>
    <w:rsid w:val="00660386"/>
    <w:rsid w:val="006610BC"/>
    <w:rsid w:val="00662170"/>
    <w:rsid w:val="00662CE6"/>
    <w:rsid w:val="006635BB"/>
    <w:rsid w:val="006657D3"/>
    <w:rsid w:val="00665B32"/>
    <w:rsid w:val="006718A8"/>
    <w:rsid w:val="00671973"/>
    <w:rsid w:val="0067436B"/>
    <w:rsid w:val="00675EAB"/>
    <w:rsid w:val="0067656A"/>
    <w:rsid w:val="0068339D"/>
    <w:rsid w:val="00683757"/>
    <w:rsid w:val="00685748"/>
    <w:rsid w:val="006859B4"/>
    <w:rsid w:val="00690616"/>
    <w:rsid w:val="006912FB"/>
    <w:rsid w:val="00695A64"/>
    <w:rsid w:val="006963A8"/>
    <w:rsid w:val="006978D1"/>
    <w:rsid w:val="00697A24"/>
    <w:rsid w:val="006A0077"/>
    <w:rsid w:val="006A00F2"/>
    <w:rsid w:val="006A416D"/>
    <w:rsid w:val="006A44B4"/>
    <w:rsid w:val="006A4705"/>
    <w:rsid w:val="006A581C"/>
    <w:rsid w:val="006A7216"/>
    <w:rsid w:val="006A7E46"/>
    <w:rsid w:val="006B0366"/>
    <w:rsid w:val="006B06F2"/>
    <w:rsid w:val="006B11D4"/>
    <w:rsid w:val="006B11F8"/>
    <w:rsid w:val="006B1CB4"/>
    <w:rsid w:val="006B312F"/>
    <w:rsid w:val="006B3C6C"/>
    <w:rsid w:val="006B4622"/>
    <w:rsid w:val="006B7D7D"/>
    <w:rsid w:val="006C309F"/>
    <w:rsid w:val="006C3844"/>
    <w:rsid w:val="006C6342"/>
    <w:rsid w:val="006C64ED"/>
    <w:rsid w:val="006D12A8"/>
    <w:rsid w:val="006D2068"/>
    <w:rsid w:val="006D4B98"/>
    <w:rsid w:val="006D577B"/>
    <w:rsid w:val="006D6674"/>
    <w:rsid w:val="006D67E5"/>
    <w:rsid w:val="006D709B"/>
    <w:rsid w:val="006D731E"/>
    <w:rsid w:val="006E0642"/>
    <w:rsid w:val="006E0CDF"/>
    <w:rsid w:val="006E34E9"/>
    <w:rsid w:val="006E6FDB"/>
    <w:rsid w:val="006F0608"/>
    <w:rsid w:val="006F16BA"/>
    <w:rsid w:val="006F230C"/>
    <w:rsid w:val="006F2718"/>
    <w:rsid w:val="006F39A7"/>
    <w:rsid w:val="006F4709"/>
    <w:rsid w:val="006F53E4"/>
    <w:rsid w:val="006F6CFC"/>
    <w:rsid w:val="006F75AA"/>
    <w:rsid w:val="006F7ACE"/>
    <w:rsid w:val="00700E44"/>
    <w:rsid w:val="00701D41"/>
    <w:rsid w:val="00702D53"/>
    <w:rsid w:val="00703011"/>
    <w:rsid w:val="00704BA6"/>
    <w:rsid w:val="00705782"/>
    <w:rsid w:val="00706903"/>
    <w:rsid w:val="00706990"/>
    <w:rsid w:val="00707D06"/>
    <w:rsid w:val="00710734"/>
    <w:rsid w:val="007107EE"/>
    <w:rsid w:val="007129BD"/>
    <w:rsid w:val="0071304A"/>
    <w:rsid w:val="00713D38"/>
    <w:rsid w:val="0071460D"/>
    <w:rsid w:val="007229B0"/>
    <w:rsid w:val="00722A94"/>
    <w:rsid w:val="007232A5"/>
    <w:rsid w:val="0072458C"/>
    <w:rsid w:val="00726435"/>
    <w:rsid w:val="00726D17"/>
    <w:rsid w:val="00726ECB"/>
    <w:rsid w:val="00732260"/>
    <w:rsid w:val="007331FB"/>
    <w:rsid w:val="00744256"/>
    <w:rsid w:val="00745057"/>
    <w:rsid w:val="00746A01"/>
    <w:rsid w:val="00747203"/>
    <w:rsid w:val="00750A9E"/>
    <w:rsid w:val="007530EE"/>
    <w:rsid w:val="007544B0"/>
    <w:rsid w:val="00756399"/>
    <w:rsid w:val="007628AC"/>
    <w:rsid w:val="00762DCE"/>
    <w:rsid w:val="007630AE"/>
    <w:rsid w:val="00764E3C"/>
    <w:rsid w:val="007658B7"/>
    <w:rsid w:val="007658EB"/>
    <w:rsid w:val="00771F4E"/>
    <w:rsid w:val="00773B25"/>
    <w:rsid w:val="00773EE9"/>
    <w:rsid w:val="007746BD"/>
    <w:rsid w:val="007747EE"/>
    <w:rsid w:val="00774B3F"/>
    <w:rsid w:val="00774BB7"/>
    <w:rsid w:val="00775A22"/>
    <w:rsid w:val="007803E1"/>
    <w:rsid w:val="007806A4"/>
    <w:rsid w:val="00781C85"/>
    <w:rsid w:val="00782286"/>
    <w:rsid w:val="00784539"/>
    <w:rsid w:val="00785131"/>
    <w:rsid w:val="00785F2F"/>
    <w:rsid w:val="00791C78"/>
    <w:rsid w:val="00792DD0"/>
    <w:rsid w:val="007939D4"/>
    <w:rsid w:val="00793F94"/>
    <w:rsid w:val="007A130A"/>
    <w:rsid w:val="007A2F4B"/>
    <w:rsid w:val="007A3412"/>
    <w:rsid w:val="007A635C"/>
    <w:rsid w:val="007A6EFA"/>
    <w:rsid w:val="007A718C"/>
    <w:rsid w:val="007A7380"/>
    <w:rsid w:val="007B6093"/>
    <w:rsid w:val="007B7B20"/>
    <w:rsid w:val="007C27F5"/>
    <w:rsid w:val="007C2EA5"/>
    <w:rsid w:val="007C308C"/>
    <w:rsid w:val="007C5E3E"/>
    <w:rsid w:val="007C6EED"/>
    <w:rsid w:val="007D079B"/>
    <w:rsid w:val="007D15F0"/>
    <w:rsid w:val="007D4106"/>
    <w:rsid w:val="007D4E92"/>
    <w:rsid w:val="007D7B10"/>
    <w:rsid w:val="007D7F41"/>
    <w:rsid w:val="007E1300"/>
    <w:rsid w:val="007E34AF"/>
    <w:rsid w:val="007E4ADC"/>
    <w:rsid w:val="007E5F2B"/>
    <w:rsid w:val="007E66A6"/>
    <w:rsid w:val="007E7196"/>
    <w:rsid w:val="007E7CF8"/>
    <w:rsid w:val="007F0AFE"/>
    <w:rsid w:val="007F0C7C"/>
    <w:rsid w:val="007F230C"/>
    <w:rsid w:val="007F37D7"/>
    <w:rsid w:val="007F3C39"/>
    <w:rsid w:val="007F5836"/>
    <w:rsid w:val="007F5F17"/>
    <w:rsid w:val="007F612F"/>
    <w:rsid w:val="007F740B"/>
    <w:rsid w:val="00800FE2"/>
    <w:rsid w:val="00801803"/>
    <w:rsid w:val="00802850"/>
    <w:rsid w:val="008041CD"/>
    <w:rsid w:val="008054E5"/>
    <w:rsid w:val="00807D67"/>
    <w:rsid w:val="0081014A"/>
    <w:rsid w:val="0081114B"/>
    <w:rsid w:val="008120BB"/>
    <w:rsid w:val="008156B9"/>
    <w:rsid w:val="00815E11"/>
    <w:rsid w:val="00815E70"/>
    <w:rsid w:val="00816225"/>
    <w:rsid w:val="00820A62"/>
    <w:rsid w:val="008216DD"/>
    <w:rsid w:val="00821D15"/>
    <w:rsid w:val="008235A7"/>
    <w:rsid w:val="0082750F"/>
    <w:rsid w:val="008301ED"/>
    <w:rsid w:val="00837B2F"/>
    <w:rsid w:val="008401F2"/>
    <w:rsid w:val="00843643"/>
    <w:rsid w:val="00845E3D"/>
    <w:rsid w:val="00846AE9"/>
    <w:rsid w:val="0085267E"/>
    <w:rsid w:val="008532B8"/>
    <w:rsid w:val="008566EA"/>
    <w:rsid w:val="008568FD"/>
    <w:rsid w:val="00856D3D"/>
    <w:rsid w:val="008576E2"/>
    <w:rsid w:val="00857B06"/>
    <w:rsid w:val="008613AF"/>
    <w:rsid w:val="00861698"/>
    <w:rsid w:val="00863453"/>
    <w:rsid w:val="00865D7B"/>
    <w:rsid w:val="00867320"/>
    <w:rsid w:val="00870280"/>
    <w:rsid w:val="00874B1A"/>
    <w:rsid w:val="00877B06"/>
    <w:rsid w:val="00877E5D"/>
    <w:rsid w:val="008827FF"/>
    <w:rsid w:val="00882F35"/>
    <w:rsid w:val="00883249"/>
    <w:rsid w:val="008868CA"/>
    <w:rsid w:val="00892A7A"/>
    <w:rsid w:val="00893C48"/>
    <w:rsid w:val="00894755"/>
    <w:rsid w:val="0089508B"/>
    <w:rsid w:val="008974E6"/>
    <w:rsid w:val="008A0CD5"/>
    <w:rsid w:val="008A0E57"/>
    <w:rsid w:val="008A15D8"/>
    <w:rsid w:val="008A408E"/>
    <w:rsid w:val="008A5C73"/>
    <w:rsid w:val="008B1C4A"/>
    <w:rsid w:val="008B2CB0"/>
    <w:rsid w:val="008B6AC4"/>
    <w:rsid w:val="008B7E72"/>
    <w:rsid w:val="008C1224"/>
    <w:rsid w:val="008C38F0"/>
    <w:rsid w:val="008C3917"/>
    <w:rsid w:val="008C60B6"/>
    <w:rsid w:val="008C6B85"/>
    <w:rsid w:val="008C75F1"/>
    <w:rsid w:val="008D1FD2"/>
    <w:rsid w:val="008E0458"/>
    <w:rsid w:val="008E14EF"/>
    <w:rsid w:val="008E22CD"/>
    <w:rsid w:val="008E36A1"/>
    <w:rsid w:val="008E446E"/>
    <w:rsid w:val="008E71B8"/>
    <w:rsid w:val="008E7841"/>
    <w:rsid w:val="008F198A"/>
    <w:rsid w:val="008F302A"/>
    <w:rsid w:val="008F52D8"/>
    <w:rsid w:val="00900735"/>
    <w:rsid w:val="00900EDF"/>
    <w:rsid w:val="009012D7"/>
    <w:rsid w:val="00901D68"/>
    <w:rsid w:val="00904CC5"/>
    <w:rsid w:val="00905550"/>
    <w:rsid w:val="00906029"/>
    <w:rsid w:val="0090650E"/>
    <w:rsid w:val="0090708F"/>
    <w:rsid w:val="0090780F"/>
    <w:rsid w:val="00907CD3"/>
    <w:rsid w:val="00907EB8"/>
    <w:rsid w:val="00910413"/>
    <w:rsid w:val="00910CD8"/>
    <w:rsid w:val="00911122"/>
    <w:rsid w:val="009131AC"/>
    <w:rsid w:val="00913C3A"/>
    <w:rsid w:val="009164F3"/>
    <w:rsid w:val="009177D3"/>
    <w:rsid w:val="00923496"/>
    <w:rsid w:val="00923AD5"/>
    <w:rsid w:val="009243B9"/>
    <w:rsid w:val="00924B50"/>
    <w:rsid w:val="00926024"/>
    <w:rsid w:val="0092622D"/>
    <w:rsid w:val="00927D18"/>
    <w:rsid w:val="00931571"/>
    <w:rsid w:val="00932340"/>
    <w:rsid w:val="009331E1"/>
    <w:rsid w:val="00934991"/>
    <w:rsid w:val="00936B68"/>
    <w:rsid w:val="009403C9"/>
    <w:rsid w:val="00942E0E"/>
    <w:rsid w:val="00943252"/>
    <w:rsid w:val="00943264"/>
    <w:rsid w:val="00943675"/>
    <w:rsid w:val="0094388D"/>
    <w:rsid w:val="00947D37"/>
    <w:rsid w:val="0095022C"/>
    <w:rsid w:val="0095078E"/>
    <w:rsid w:val="00950D56"/>
    <w:rsid w:val="0095270A"/>
    <w:rsid w:val="00953D9E"/>
    <w:rsid w:val="00954441"/>
    <w:rsid w:val="009555D7"/>
    <w:rsid w:val="00956C3A"/>
    <w:rsid w:val="00956CFC"/>
    <w:rsid w:val="00957A96"/>
    <w:rsid w:val="00960BD1"/>
    <w:rsid w:val="009611A3"/>
    <w:rsid w:val="00961413"/>
    <w:rsid w:val="009647A1"/>
    <w:rsid w:val="00964919"/>
    <w:rsid w:val="00966999"/>
    <w:rsid w:val="009722D2"/>
    <w:rsid w:val="00975EBB"/>
    <w:rsid w:val="00977B9E"/>
    <w:rsid w:val="00980637"/>
    <w:rsid w:val="00985F2E"/>
    <w:rsid w:val="00990AB8"/>
    <w:rsid w:val="00990AD1"/>
    <w:rsid w:val="0099158E"/>
    <w:rsid w:val="00991629"/>
    <w:rsid w:val="00994267"/>
    <w:rsid w:val="0099667E"/>
    <w:rsid w:val="009A6D66"/>
    <w:rsid w:val="009A7D6C"/>
    <w:rsid w:val="009B0907"/>
    <w:rsid w:val="009B0B7F"/>
    <w:rsid w:val="009B2584"/>
    <w:rsid w:val="009B2A27"/>
    <w:rsid w:val="009B5C9A"/>
    <w:rsid w:val="009B5FA1"/>
    <w:rsid w:val="009B5FD7"/>
    <w:rsid w:val="009B71E3"/>
    <w:rsid w:val="009C050C"/>
    <w:rsid w:val="009C1046"/>
    <w:rsid w:val="009C16E9"/>
    <w:rsid w:val="009C335A"/>
    <w:rsid w:val="009C3C85"/>
    <w:rsid w:val="009C3D4E"/>
    <w:rsid w:val="009C3DC1"/>
    <w:rsid w:val="009C5AAE"/>
    <w:rsid w:val="009C7041"/>
    <w:rsid w:val="009D087E"/>
    <w:rsid w:val="009D0BF4"/>
    <w:rsid w:val="009D12EE"/>
    <w:rsid w:val="009D1B60"/>
    <w:rsid w:val="009D1DF9"/>
    <w:rsid w:val="009D24DA"/>
    <w:rsid w:val="009D273C"/>
    <w:rsid w:val="009D5B5B"/>
    <w:rsid w:val="009D6627"/>
    <w:rsid w:val="009D6A8A"/>
    <w:rsid w:val="009E5639"/>
    <w:rsid w:val="009E6FB7"/>
    <w:rsid w:val="009F0BDD"/>
    <w:rsid w:val="009F260C"/>
    <w:rsid w:val="009F2686"/>
    <w:rsid w:val="009F2AC7"/>
    <w:rsid w:val="009F3279"/>
    <w:rsid w:val="009F3774"/>
    <w:rsid w:val="009F4DFE"/>
    <w:rsid w:val="009F538B"/>
    <w:rsid w:val="009F72CC"/>
    <w:rsid w:val="009F73E3"/>
    <w:rsid w:val="00A00903"/>
    <w:rsid w:val="00A02D5F"/>
    <w:rsid w:val="00A03B27"/>
    <w:rsid w:val="00A07B0A"/>
    <w:rsid w:val="00A10C4F"/>
    <w:rsid w:val="00A128DE"/>
    <w:rsid w:val="00A1463D"/>
    <w:rsid w:val="00A15157"/>
    <w:rsid w:val="00A215D6"/>
    <w:rsid w:val="00A2470A"/>
    <w:rsid w:val="00A25469"/>
    <w:rsid w:val="00A25EA5"/>
    <w:rsid w:val="00A305C3"/>
    <w:rsid w:val="00A36795"/>
    <w:rsid w:val="00A502D8"/>
    <w:rsid w:val="00A50CED"/>
    <w:rsid w:val="00A60842"/>
    <w:rsid w:val="00A60B3D"/>
    <w:rsid w:val="00A610D7"/>
    <w:rsid w:val="00A61C55"/>
    <w:rsid w:val="00A62DF3"/>
    <w:rsid w:val="00A62E33"/>
    <w:rsid w:val="00A63C7C"/>
    <w:rsid w:val="00A716A3"/>
    <w:rsid w:val="00A71C65"/>
    <w:rsid w:val="00A74769"/>
    <w:rsid w:val="00A748FF"/>
    <w:rsid w:val="00A75E9A"/>
    <w:rsid w:val="00A76A6E"/>
    <w:rsid w:val="00A81A4D"/>
    <w:rsid w:val="00A82B0F"/>
    <w:rsid w:val="00A835ED"/>
    <w:rsid w:val="00A838DE"/>
    <w:rsid w:val="00A83B58"/>
    <w:rsid w:val="00A85132"/>
    <w:rsid w:val="00A85D37"/>
    <w:rsid w:val="00A86150"/>
    <w:rsid w:val="00A87A4B"/>
    <w:rsid w:val="00A87D8F"/>
    <w:rsid w:val="00A937FE"/>
    <w:rsid w:val="00A93B29"/>
    <w:rsid w:val="00A945EB"/>
    <w:rsid w:val="00A94E50"/>
    <w:rsid w:val="00A968B7"/>
    <w:rsid w:val="00AA0F30"/>
    <w:rsid w:val="00AA2EA6"/>
    <w:rsid w:val="00AA4952"/>
    <w:rsid w:val="00AA4DE0"/>
    <w:rsid w:val="00AA7CEB"/>
    <w:rsid w:val="00AB0B7A"/>
    <w:rsid w:val="00AB19CD"/>
    <w:rsid w:val="00AB1D9A"/>
    <w:rsid w:val="00AB306F"/>
    <w:rsid w:val="00AB4CE6"/>
    <w:rsid w:val="00AB5165"/>
    <w:rsid w:val="00AB7693"/>
    <w:rsid w:val="00AC38D6"/>
    <w:rsid w:val="00AC392A"/>
    <w:rsid w:val="00AC5013"/>
    <w:rsid w:val="00AD39C0"/>
    <w:rsid w:val="00AD3DB9"/>
    <w:rsid w:val="00AD3E53"/>
    <w:rsid w:val="00AD4B86"/>
    <w:rsid w:val="00AD4EC2"/>
    <w:rsid w:val="00AD6D1F"/>
    <w:rsid w:val="00AE0F1F"/>
    <w:rsid w:val="00AE3FED"/>
    <w:rsid w:val="00AE6071"/>
    <w:rsid w:val="00AE6AA4"/>
    <w:rsid w:val="00AF2149"/>
    <w:rsid w:val="00AF310D"/>
    <w:rsid w:val="00AF4C6E"/>
    <w:rsid w:val="00AF58B7"/>
    <w:rsid w:val="00B000C1"/>
    <w:rsid w:val="00B03ECD"/>
    <w:rsid w:val="00B05360"/>
    <w:rsid w:val="00B0582C"/>
    <w:rsid w:val="00B06911"/>
    <w:rsid w:val="00B11E53"/>
    <w:rsid w:val="00B13914"/>
    <w:rsid w:val="00B153CB"/>
    <w:rsid w:val="00B17EC4"/>
    <w:rsid w:val="00B2393E"/>
    <w:rsid w:val="00B23DF8"/>
    <w:rsid w:val="00B247ED"/>
    <w:rsid w:val="00B25C19"/>
    <w:rsid w:val="00B260BC"/>
    <w:rsid w:val="00B2671B"/>
    <w:rsid w:val="00B32FBD"/>
    <w:rsid w:val="00B334B8"/>
    <w:rsid w:val="00B34069"/>
    <w:rsid w:val="00B368BB"/>
    <w:rsid w:val="00B42884"/>
    <w:rsid w:val="00B42C8B"/>
    <w:rsid w:val="00B43210"/>
    <w:rsid w:val="00B43A8E"/>
    <w:rsid w:val="00B4658E"/>
    <w:rsid w:val="00B46CC3"/>
    <w:rsid w:val="00B51E98"/>
    <w:rsid w:val="00B524F7"/>
    <w:rsid w:val="00B53459"/>
    <w:rsid w:val="00B575F5"/>
    <w:rsid w:val="00B607CD"/>
    <w:rsid w:val="00B60EB4"/>
    <w:rsid w:val="00B6204D"/>
    <w:rsid w:val="00B62FB1"/>
    <w:rsid w:val="00B63BA0"/>
    <w:rsid w:val="00B64CA9"/>
    <w:rsid w:val="00B660A2"/>
    <w:rsid w:val="00B6675F"/>
    <w:rsid w:val="00B67EAE"/>
    <w:rsid w:val="00B76041"/>
    <w:rsid w:val="00B827DC"/>
    <w:rsid w:val="00B83CC9"/>
    <w:rsid w:val="00B84029"/>
    <w:rsid w:val="00B84C98"/>
    <w:rsid w:val="00B84F2B"/>
    <w:rsid w:val="00B85D6C"/>
    <w:rsid w:val="00B85D97"/>
    <w:rsid w:val="00B87CA7"/>
    <w:rsid w:val="00B91D48"/>
    <w:rsid w:val="00B9262B"/>
    <w:rsid w:val="00B92AFB"/>
    <w:rsid w:val="00B94BF6"/>
    <w:rsid w:val="00B952DB"/>
    <w:rsid w:val="00B95736"/>
    <w:rsid w:val="00B96A90"/>
    <w:rsid w:val="00B96D2C"/>
    <w:rsid w:val="00B97C47"/>
    <w:rsid w:val="00BA003D"/>
    <w:rsid w:val="00BA125C"/>
    <w:rsid w:val="00BA16E1"/>
    <w:rsid w:val="00BA386D"/>
    <w:rsid w:val="00BA4E87"/>
    <w:rsid w:val="00BA62E0"/>
    <w:rsid w:val="00BA703B"/>
    <w:rsid w:val="00BB01A8"/>
    <w:rsid w:val="00BB034D"/>
    <w:rsid w:val="00BB06F6"/>
    <w:rsid w:val="00BB3254"/>
    <w:rsid w:val="00BB4C54"/>
    <w:rsid w:val="00BB65EE"/>
    <w:rsid w:val="00BB7224"/>
    <w:rsid w:val="00BB7486"/>
    <w:rsid w:val="00BB7644"/>
    <w:rsid w:val="00BB79D6"/>
    <w:rsid w:val="00BC0438"/>
    <w:rsid w:val="00BC591A"/>
    <w:rsid w:val="00BC5D7B"/>
    <w:rsid w:val="00BD2070"/>
    <w:rsid w:val="00BD28F1"/>
    <w:rsid w:val="00BD299D"/>
    <w:rsid w:val="00BD51B9"/>
    <w:rsid w:val="00BE1927"/>
    <w:rsid w:val="00BE367C"/>
    <w:rsid w:val="00BE7F60"/>
    <w:rsid w:val="00BF1DDF"/>
    <w:rsid w:val="00BF2BA9"/>
    <w:rsid w:val="00BF2C47"/>
    <w:rsid w:val="00BF4F33"/>
    <w:rsid w:val="00C001C6"/>
    <w:rsid w:val="00C07CB3"/>
    <w:rsid w:val="00C119EE"/>
    <w:rsid w:val="00C14821"/>
    <w:rsid w:val="00C20A7B"/>
    <w:rsid w:val="00C20D63"/>
    <w:rsid w:val="00C21F3F"/>
    <w:rsid w:val="00C30319"/>
    <w:rsid w:val="00C30436"/>
    <w:rsid w:val="00C332CB"/>
    <w:rsid w:val="00C34B27"/>
    <w:rsid w:val="00C35991"/>
    <w:rsid w:val="00C359E1"/>
    <w:rsid w:val="00C37DE2"/>
    <w:rsid w:val="00C40749"/>
    <w:rsid w:val="00C40F2B"/>
    <w:rsid w:val="00C413CD"/>
    <w:rsid w:val="00C4192C"/>
    <w:rsid w:val="00C4386F"/>
    <w:rsid w:val="00C447D5"/>
    <w:rsid w:val="00C50424"/>
    <w:rsid w:val="00C51937"/>
    <w:rsid w:val="00C51FEF"/>
    <w:rsid w:val="00C525DC"/>
    <w:rsid w:val="00C53E67"/>
    <w:rsid w:val="00C563D5"/>
    <w:rsid w:val="00C57D9F"/>
    <w:rsid w:val="00C6016F"/>
    <w:rsid w:val="00C64E24"/>
    <w:rsid w:val="00C65785"/>
    <w:rsid w:val="00C66368"/>
    <w:rsid w:val="00C675B2"/>
    <w:rsid w:val="00C7082A"/>
    <w:rsid w:val="00C76B25"/>
    <w:rsid w:val="00C775CE"/>
    <w:rsid w:val="00C807B8"/>
    <w:rsid w:val="00C82B84"/>
    <w:rsid w:val="00C82F89"/>
    <w:rsid w:val="00C87B91"/>
    <w:rsid w:val="00C935E1"/>
    <w:rsid w:val="00C9440A"/>
    <w:rsid w:val="00C945C6"/>
    <w:rsid w:val="00C946D7"/>
    <w:rsid w:val="00C96457"/>
    <w:rsid w:val="00C969DD"/>
    <w:rsid w:val="00C97598"/>
    <w:rsid w:val="00C979EA"/>
    <w:rsid w:val="00CA19A7"/>
    <w:rsid w:val="00CA3286"/>
    <w:rsid w:val="00CA489D"/>
    <w:rsid w:val="00CA5499"/>
    <w:rsid w:val="00CB23A9"/>
    <w:rsid w:val="00CB2DFB"/>
    <w:rsid w:val="00CB3460"/>
    <w:rsid w:val="00CB61F7"/>
    <w:rsid w:val="00CB6A65"/>
    <w:rsid w:val="00CC12F0"/>
    <w:rsid w:val="00CC158C"/>
    <w:rsid w:val="00CC297C"/>
    <w:rsid w:val="00CC33B9"/>
    <w:rsid w:val="00CC42E7"/>
    <w:rsid w:val="00CC7F6C"/>
    <w:rsid w:val="00CD1DD4"/>
    <w:rsid w:val="00CD2981"/>
    <w:rsid w:val="00CD3DCD"/>
    <w:rsid w:val="00CD6375"/>
    <w:rsid w:val="00CD70D5"/>
    <w:rsid w:val="00CE142D"/>
    <w:rsid w:val="00CE1994"/>
    <w:rsid w:val="00CE1ACB"/>
    <w:rsid w:val="00CE5899"/>
    <w:rsid w:val="00CF0425"/>
    <w:rsid w:val="00CF12AD"/>
    <w:rsid w:val="00CF186E"/>
    <w:rsid w:val="00CF1E7A"/>
    <w:rsid w:val="00CF2069"/>
    <w:rsid w:val="00CF2714"/>
    <w:rsid w:val="00CF28D6"/>
    <w:rsid w:val="00CF3E6C"/>
    <w:rsid w:val="00CF5330"/>
    <w:rsid w:val="00CF7333"/>
    <w:rsid w:val="00D01BA0"/>
    <w:rsid w:val="00D01F7E"/>
    <w:rsid w:val="00D02706"/>
    <w:rsid w:val="00D06389"/>
    <w:rsid w:val="00D07FFD"/>
    <w:rsid w:val="00D1303E"/>
    <w:rsid w:val="00D15441"/>
    <w:rsid w:val="00D16762"/>
    <w:rsid w:val="00D177A3"/>
    <w:rsid w:val="00D22E80"/>
    <w:rsid w:val="00D23573"/>
    <w:rsid w:val="00D23D8E"/>
    <w:rsid w:val="00D3200F"/>
    <w:rsid w:val="00D320E7"/>
    <w:rsid w:val="00D3280C"/>
    <w:rsid w:val="00D343B1"/>
    <w:rsid w:val="00D35ADC"/>
    <w:rsid w:val="00D4187C"/>
    <w:rsid w:val="00D423EF"/>
    <w:rsid w:val="00D42CA4"/>
    <w:rsid w:val="00D44529"/>
    <w:rsid w:val="00D476E4"/>
    <w:rsid w:val="00D47D72"/>
    <w:rsid w:val="00D50BCA"/>
    <w:rsid w:val="00D510F7"/>
    <w:rsid w:val="00D579D6"/>
    <w:rsid w:val="00D6043F"/>
    <w:rsid w:val="00D61E38"/>
    <w:rsid w:val="00D631E0"/>
    <w:rsid w:val="00D6575C"/>
    <w:rsid w:val="00D66287"/>
    <w:rsid w:val="00D665A7"/>
    <w:rsid w:val="00D66C8E"/>
    <w:rsid w:val="00D67185"/>
    <w:rsid w:val="00D671A3"/>
    <w:rsid w:val="00D671D8"/>
    <w:rsid w:val="00D81030"/>
    <w:rsid w:val="00D81F39"/>
    <w:rsid w:val="00D82A14"/>
    <w:rsid w:val="00D840FD"/>
    <w:rsid w:val="00D84F45"/>
    <w:rsid w:val="00D869A2"/>
    <w:rsid w:val="00D87759"/>
    <w:rsid w:val="00D907E0"/>
    <w:rsid w:val="00D94499"/>
    <w:rsid w:val="00DA047E"/>
    <w:rsid w:val="00DA0C63"/>
    <w:rsid w:val="00DA4BC0"/>
    <w:rsid w:val="00DB1366"/>
    <w:rsid w:val="00DB195F"/>
    <w:rsid w:val="00DB607B"/>
    <w:rsid w:val="00DC0546"/>
    <w:rsid w:val="00DC136E"/>
    <w:rsid w:val="00DC1D52"/>
    <w:rsid w:val="00DC4044"/>
    <w:rsid w:val="00DC4395"/>
    <w:rsid w:val="00DC70EC"/>
    <w:rsid w:val="00DD1297"/>
    <w:rsid w:val="00DD2395"/>
    <w:rsid w:val="00DD345B"/>
    <w:rsid w:val="00DD4714"/>
    <w:rsid w:val="00DD63F4"/>
    <w:rsid w:val="00DE027E"/>
    <w:rsid w:val="00DE15FA"/>
    <w:rsid w:val="00DE1FDD"/>
    <w:rsid w:val="00DE2D91"/>
    <w:rsid w:val="00DE5681"/>
    <w:rsid w:val="00DE73F3"/>
    <w:rsid w:val="00DE7874"/>
    <w:rsid w:val="00DF285B"/>
    <w:rsid w:val="00DF33E4"/>
    <w:rsid w:val="00DF4408"/>
    <w:rsid w:val="00DF5B3F"/>
    <w:rsid w:val="00DF5D2A"/>
    <w:rsid w:val="00DF6E80"/>
    <w:rsid w:val="00E005F4"/>
    <w:rsid w:val="00E00960"/>
    <w:rsid w:val="00E01998"/>
    <w:rsid w:val="00E01E4B"/>
    <w:rsid w:val="00E02AE2"/>
    <w:rsid w:val="00E06026"/>
    <w:rsid w:val="00E073E4"/>
    <w:rsid w:val="00E07DE3"/>
    <w:rsid w:val="00E1007B"/>
    <w:rsid w:val="00E10FA0"/>
    <w:rsid w:val="00E137F7"/>
    <w:rsid w:val="00E13E0E"/>
    <w:rsid w:val="00E143F0"/>
    <w:rsid w:val="00E15B7D"/>
    <w:rsid w:val="00E17F36"/>
    <w:rsid w:val="00E203BD"/>
    <w:rsid w:val="00E20AA9"/>
    <w:rsid w:val="00E20B0D"/>
    <w:rsid w:val="00E24C95"/>
    <w:rsid w:val="00E267BD"/>
    <w:rsid w:val="00E27137"/>
    <w:rsid w:val="00E27575"/>
    <w:rsid w:val="00E31CBF"/>
    <w:rsid w:val="00E3384D"/>
    <w:rsid w:val="00E4040A"/>
    <w:rsid w:val="00E449AE"/>
    <w:rsid w:val="00E53574"/>
    <w:rsid w:val="00E53D13"/>
    <w:rsid w:val="00E54AE0"/>
    <w:rsid w:val="00E55DF5"/>
    <w:rsid w:val="00E56210"/>
    <w:rsid w:val="00E57B19"/>
    <w:rsid w:val="00E632F9"/>
    <w:rsid w:val="00E6349A"/>
    <w:rsid w:val="00E639B9"/>
    <w:rsid w:val="00E63DCC"/>
    <w:rsid w:val="00E663D2"/>
    <w:rsid w:val="00E67BAE"/>
    <w:rsid w:val="00E70F52"/>
    <w:rsid w:val="00E736F0"/>
    <w:rsid w:val="00E80846"/>
    <w:rsid w:val="00E818B6"/>
    <w:rsid w:val="00E82708"/>
    <w:rsid w:val="00E84256"/>
    <w:rsid w:val="00E847D8"/>
    <w:rsid w:val="00E86BE6"/>
    <w:rsid w:val="00E86F3F"/>
    <w:rsid w:val="00E92876"/>
    <w:rsid w:val="00E92AF8"/>
    <w:rsid w:val="00E92F1F"/>
    <w:rsid w:val="00E93834"/>
    <w:rsid w:val="00E94513"/>
    <w:rsid w:val="00EA3590"/>
    <w:rsid w:val="00EA549A"/>
    <w:rsid w:val="00EA6A34"/>
    <w:rsid w:val="00EA7762"/>
    <w:rsid w:val="00EB0A81"/>
    <w:rsid w:val="00EB1AF1"/>
    <w:rsid w:val="00EB3D6F"/>
    <w:rsid w:val="00EB44A8"/>
    <w:rsid w:val="00EB4EDC"/>
    <w:rsid w:val="00EB538F"/>
    <w:rsid w:val="00EB64E9"/>
    <w:rsid w:val="00EB6555"/>
    <w:rsid w:val="00EC2D08"/>
    <w:rsid w:val="00EC2E47"/>
    <w:rsid w:val="00EC3F24"/>
    <w:rsid w:val="00EC43F5"/>
    <w:rsid w:val="00EC50C0"/>
    <w:rsid w:val="00EC6482"/>
    <w:rsid w:val="00EC6593"/>
    <w:rsid w:val="00EC65DA"/>
    <w:rsid w:val="00ED1993"/>
    <w:rsid w:val="00ED45FD"/>
    <w:rsid w:val="00ED5A48"/>
    <w:rsid w:val="00EE29FB"/>
    <w:rsid w:val="00EE328F"/>
    <w:rsid w:val="00EE77F7"/>
    <w:rsid w:val="00EE7FE9"/>
    <w:rsid w:val="00EF19DA"/>
    <w:rsid w:val="00EF1A43"/>
    <w:rsid w:val="00EF236C"/>
    <w:rsid w:val="00EF2871"/>
    <w:rsid w:val="00EF2D85"/>
    <w:rsid w:val="00EF77FD"/>
    <w:rsid w:val="00F006D5"/>
    <w:rsid w:val="00F01806"/>
    <w:rsid w:val="00F026C2"/>
    <w:rsid w:val="00F04D73"/>
    <w:rsid w:val="00F062AA"/>
    <w:rsid w:val="00F06504"/>
    <w:rsid w:val="00F071E8"/>
    <w:rsid w:val="00F07D6D"/>
    <w:rsid w:val="00F10A7D"/>
    <w:rsid w:val="00F12E15"/>
    <w:rsid w:val="00F1494C"/>
    <w:rsid w:val="00F16A78"/>
    <w:rsid w:val="00F1728A"/>
    <w:rsid w:val="00F24512"/>
    <w:rsid w:val="00F26E53"/>
    <w:rsid w:val="00F27CFC"/>
    <w:rsid w:val="00F3073D"/>
    <w:rsid w:val="00F312F9"/>
    <w:rsid w:val="00F31801"/>
    <w:rsid w:val="00F3185D"/>
    <w:rsid w:val="00F36DF8"/>
    <w:rsid w:val="00F37419"/>
    <w:rsid w:val="00F414B0"/>
    <w:rsid w:val="00F4153B"/>
    <w:rsid w:val="00F41D65"/>
    <w:rsid w:val="00F423F8"/>
    <w:rsid w:val="00F43F1A"/>
    <w:rsid w:val="00F511B9"/>
    <w:rsid w:val="00F52116"/>
    <w:rsid w:val="00F529C1"/>
    <w:rsid w:val="00F57B7D"/>
    <w:rsid w:val="00F631F1"/>
    <w:rsid w:val="00F638E9"/>
    <w:rsid w:val="00F63EF4"/>
    <w:rsid w:val="00F659EE"/>
    <w:rsid w:val="00F65AE3"/>
    <w:rsid w:val="00F676A7"/>
    <w:rsid w:val="00F67D5B"/>
    <w:rsid w:val="00F72430"/>
    <w:rsid w:val="00F72728"/>
    <w:rsid w:val="00F74070"/>
    <w:rsid w:val="00F7485B"/>
    <w:rsid w:val="00F7547A"/>
    <w:rsid w:val="00F76F41"/>
    <w:rsid w:val="00F76FA5"/>
    <w:rsid w:val="00F7739C"/>
    <w:rsid w:val="00F80D21"/>
    <w:rsid w:val="00F83712"/>
    <w:rsid w:val="00F86117"/>
    <w:rsid w:val="00F87E4B"/>
    <w:rsid w:val="00F90799"/>
    <w:rsid w:val="00F9587E"/>
    <w:rsid w:val="00F95E4A"/>
    <w:rsid w:val="00FA0FB7"/>
    <w:rsid w:val="00FA1630"/>
    <w:rsid w:val="00FA1BB0"/>
    <w:rsid w:val="00FA2FF6"/>
    <w:rsid w:val="00FA3B8B"/>
    <w:rsid w:val="00FA4128"/>
    <w:rsid w:val="00FA447B"/>
    <w:rsid w:val="00FA4F3F"/>
    <w:rsid w:val="00FA5A5B"/>
    <w:rsid w:val="00FA7253"/>
    <w:rsid w:val="00FA7AC4"/>
    <w:rsid w:val="00FA7D4C"/>
    <w:rsid w:val="00FB0EA7"/>
    <w:rsid w:val="00FB1D80"/>
    <w:rsid w:val="00FB3441"/>
    <w:rsid w:val="00FB6D50"/>
    <w:rsid w:val="00FC0A6F"/>
    <w:rsid w:val="00FC11BF"/>
    <w:rsid w:val="00FC5EC3"/>
    <w:rsid w:val="00FC763F"/>
    <w:rsid w:val="00FD22C0"/>
    <w:rsid w:val="00FD2467"/>
    <w:rsid w:val="00FD2943"/>
    <w:rsid w:val="00FD5F53"/>
    <w:rsid w:val="00FD64DA"/>
    <w:rsid w:val="00FD798B"/>
    <w:rsid w:val="00FE068F"/>
    <w:rsid w:val="00FE1438"/>
    <w:rsid w:val="00FE460C"/>
    <w:rsid w:val="00FE6A9E"/>
    <w:rsid w:val="00FF0A1A"/>
    <w:rsid w:val="00FF0D94"/>
    <w:rsid w:val="00FF21EE"/>
    <w:rsid w:val="00FF57FC"/>
    <w:rsid w:val="00FF793F"/>
    <w:rsid w:val="00FF7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link w:val="Heading1Char"/>
    <w:uiPriority w:val="9"/>
    <w:qFormat/>
    <w:rsid w:val="007E7CF8"/>
    <w:pPr>
      <w:spacing w:before="100" w:beforeAutospacing="1" w:after="100" w:afterAutospacing="1"/>
      <w:outlineLvl w:val="0"/>
    </w:pPr>
    <w:rPr>
      <w:rFonts w:ascii="Times New Roman" w:hAnsi="Times New Roman"/>
      <w:b/>
      <w:bCs/>
      <w:kern w:val="36"/>
      <w:sz w:val="48"/>
      <w:szCs w:val="48"/>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6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42100"/>
    <w:pPr>
      <w:tabs>
        <w:tab w:val="center" w:pos="4320"/>
        <w:tab w:val="right" w:pos="8640"/>
      </w:tabs>
    </w:pPr>
  </w:style>
  <w:style w:type="character" w:styleId="PageNumber">
    <w:name w:val="page number"/>
    <w:basedOn w:val="DefaultParagraphFont"/>
    <w:rsid w:val="00442100"/>
  </w:style>
  <w:style w:type="paragraph" w:styleId="BalloonText">
    <w:name w:val="Balloon Text"/>
    <w:basedOn w:val="Normal"/>
    <w:semiHidden/>
    <w:rsid w:val="00B53459"/>
    <w:rPr>
      <w:rFonts w:ascii="Tahoma" w:hAnsi="Tahoma" w:cs="Tahoma"/>
      <w:sz w:val="16"/>
      <w:szCs w:val="16"/>
    </w:rPr>
  </w:style>
  <w:style w:type="paragraph" w:styleId="Header">
    <w:name w:val="header"/>
    <w:basedOn w:val="Normal"/>
    <w:rsid w:val="00D665A7"/>
    <w:pPr>
      <w:tabs>
        <w:tab w:val="center" w:pos="4320"/>
        <w:tab w:val="right" w:pos="8640"/>
      </w:tabs>
    </w:pPr>
  </w:style>
  <w:style w:type="character" w:customStyle="1" w:styleId="Heading1Char">
    <w:name w:val="Heading 1 Char"/>
    <w:link w:val="Heading1"/>
    <w:uiPriority w:val="9"/>
    <w:rsid w:val="007E7CF8"/>
    <w:rPr>
      <w:b/>
      <w:bCs/>
      <w:kern w:val="36"/>
      <w:sz w:val="48"/>
      <w:szCs w:val="48"/>
    </w:rPr>
  </w:style>
  <w:style w:type="character" w:customStyle="1" w:styleId="fontxlargeb">
    <w:name w:val="fontxlargeb"/>
    <w:basedOn w:val="DefaultParagraphFont"/>
    <w:rsid w:val="007E7CF8"/>
  </w:style>
  <w:style w:type="paragraph" w:customStyle="1" w:styleId="than">
    <w:name w:val="than"/>
    <w:basedOn w:val="Normal"/>
    <w:rsid w:val="00927D18"/>
    <w:pPr>
      <w:spacing w:before="100" w:beforeAutospacing="1" w:after="100" w:afterAutospacing="1"/>
    </w:pPr>
    <w:rPr>
      <w:rFonts w:ascii="Times New Roman" w:hAnsi="Times New Roman"/>
      <w:sz w:val="24"/>
      <w:szCs w:val="24"/>
    </w:rPr>
  </w:style>
  <w:style w:type="character" w:styleId="Hyperlink">
    <w:name w:val="Hyperlink"/>
    <w:uiPriority w:val="99"/>
    <w:rsid w:val="00927D18"/>
    <w:rPr>
      <w:color w:val="0000FF"/>
      <w:u w:val="single"/>
    </w:rPr>
  </w:style>
  <w:style w:type="paragraph" w:styleId="NormalWeb">
    <w:name w:val="Normal (Web)"/>
    <w:basedOn w:val="Normal"/>
    <w:uiPriority w:val="99"/>
    <w:unhideWhenUsed/>
    <w:rsid w:val="00137609"/>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257DFC"/>
    <w:pPr>
      <w:jc w:val="both"/>
    </w:pPr>
    <w:rPr>
      <w:rFonts w:ascii="VNI-Times" w:hAnsi="VNI-Times"/>
      <w:szCs w:val="24"/>
    </w:rPr>
  </w:style>
  <w:style w:type="character" w:customStyle="1" w:styleId="BodyTextChar">
    <w:name w:val="Body Text Char"/>
    <w:link w:val="BodyText"/>
    <w:rsid w:val="00257DFC"/>
    <w:rPr>
      <w:rFonts w:ascii="VNI-Times" w:hAnsi="VNI-Times"/>
      <w:sz w:val="28"/>
      <w:szCs w:val="24"/>
      <w:lang w:val="en-US" w:eastAsia="en-US"/>
    </w:rPr>
  </w:style>
  <w:style w:type="paragraph" w:customStyle="1" w:styleId="Body1">
    <w:name w:val="Body 1"/>
    <w:rsid w:val="00F83712"/>
    <w:pPr>
      <w:outlineLvl w:val="0"/>
    </w:pPr>
    <w:rPr>
      <w:rFonts w:eastAsia="Arial Unicode MS"/>
      <w:color w:val="000000"/>
      <w:sz w:val="24"/>
      <w:u w:color="000000"/>
    </w:rPr>
  </w:style>
  <w:style w:type="character" w:customStyle="1" w:styleId="FooterChar">
    <w:name w:val="Footer Char"/>
    <w:link w:val="Footer"/>
    <w:uiPriority w:val="99"/>
    <w:rsid w:val="00FF793F"/>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link w:val="Heading1Char"/>
    <w:uiPriority w:val="9"/>
    <w:qFormat/>
    <w:rsid w:val="007E7CF8"/>
    <w:pPr>
      <w:spacing w:before="100" w:beforeAutospacing="1" w:after="100" w:afterAutospacing="1"/>
      <w:outlineLvl w:val="0"/>
    </w:pPr>
    <w:rPr>
      <w:rFonts w:ascii="Times New Roman" w:hAnsi="Times New Roman"/>
      <w:b/>
      <w:bCs/>
      <w:kern w:val="36"/>
      <w:sz w:val="48"/>
      <w:szCs w:val="48"/>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6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42100"/>
    <w:pPr>
      <w:tabs>
        <w:tab w:val="center" w:pos="4320"/>
        <w:tab w:val="right" w:pos="8640"/>
      </w:tabs>
    </w:pPr>
  </w:style>
  <w:style w:type="character" w:styleId="PageNumber">
    <w:name w:val="page number"/>
    <w:basedOn w:val="DefaultParagraphFont"/>
    <w:rsid w:val="00442100"/>
  </w:style>
  <w:style w:type="paragraph" w:styleId="BalloonText">
    <w:name w:val="Balloon Text"/>
    <w:basedOn w:val="Normal"/>
    <w:semiHidden/>
    <w:rsid w:val="00B53459"/>
    <w:rPr>
      <w:rFonts w:ascii="Tahoma" w:hAnsi="Tahoma" w:cs="Tahoma"/>
      <w:sz w:val="16"/>
      <w:szCs w:val="16"/>
    </w:rPr>
  </w:style>
  <w:style w:type="paragraph" w:styleId="Header">
    <w:name w:val="header"/>
    <w:basedOn w:val="Normal"/>
    <w:rsid w:val="00D665A7"/>
    <w:pPr>
      <w:tabs>
        <w:tab w:val="center" w:pos="4320"/>
        <w:tab w:val="right" w:pos="8640"/>
      </w:tabs>
    </w:pPr>
  </w:style>
  <w:style w:type="character" w:customStyle="1" w:styleId="Heading1Char">
    <w:name w:val="Heading 1 Char"/>
    <w:link w:val="Heading1"/>
    <w:uiPriority w:val="9"/>
    <w:rsid w:val="007E7CF8"/>
    <w:rPr>
      <w:b/>
      <w:bCs/>
      <w:kern w:val="36"/>
      <w:sz w:val="48"/>
      <w:szCs w:val="48"/>
    </w:rPr>
  </w:style>
  <w:style w:type="character" w:customStyle="1" w:styleId="fontxlargeb">
    <w:name w:val="fontxlargeb"/>
    <w:basedOn w:val="DefaultParagraphFont"/>
    <w:rsid w:val="007E7CF8"/>
  </w:style>
  <w:style w:type="paragraph" w:customStyle="1" w:styleId="than">
    <w:name w:val="than"/>
    <w:basedOn w:val="Normal"/>
    <w:rsid w:val="00927D18"/>
    <w:pPr>
      <w:spacing w:before="100" w:beforeAutospacing="1" w:after="100" w:afterAutospacing="1"/>
    </w:pPr>
    <w:rPr>
      <w:rFonts w:ascii="Times New Roman" w:hAnsi="Times New Roman"/>
      <w:sz w:val="24"/>
      <w:szCs w:val="24"/>
    </w:rPr>
  </w:style>
  <w:style w:type="character" w:styleId="Hyperlink">
    <w:name w:val="Hyperlink"/>
    <w:uiPriority w:val="99"/>
    <w:rsid w:val="00927D18"/>
    <w:rPr>
      <w:color w:val="0000FF"/>
      <w:u w:val="single"/>
    </w:rPr>
  </w:style>
  <w:style w:type="paragraph" w:styleId="NormalWeb">
    <w:name w:val="Normal (Web)"/>
    <w:basedOn w:val="Normal"/>
    <w:uiPriority w:val="99"/>
    <w:unhideWhenUsed/>
    <w:rsid w:val="00137609"/>
    <w:pPr>
      <w:spacing w:before="100" w:beforeAutospacing="1" w:after="100" w:afterAutospacing="1"/>
    </w:pPr>
    <w:rPr>
      <w:rFonts w:ascii="Times New Roman" w:hAnsi="Times New Roman"/>
      <w:sz w:val="24"/>
      <w:szCs w:val="24"/>
    </w:rPr>
  </w:style>
  <w:style w:type="paragraph" w:styleId="BodyText">
    <w:name w:val="Body Text"/>
    <w:basedOn w:val="Normal"/>
    <w:link w:val="BodyTextChar"/>
    <w:rsid w:val="00257DFC"/>
    <w:pPr>
      <w:jc w:val="both"/>
    </w:pPr>
    <w:rPr>
      <w:rFonts w:ascii="VNI-Times" w:hAnsi="VNI-Times"/>
      <w:szCs w:val="24"/>
    </w:rPr>
  </w:style>
  <w:style w:type="character" w:customStyle="1" w:styleId="BodyTextChar">
    <w:name w:val="Body Text Char"/>
    <w:link w:val="BodyText"/>
    <w:rsid w:val="00257DFC"/>
    <w:rPr>
      <w:rFonts w:ascii="VNI-Times" w:hAnsi="VNI-Times"/>
      <w:sz w:val="28"/>
      <w:szCs w:val="24"/>
      <w:lang w:val="en-US" w:eastAsia="en-US"/>
    </w:rPr>
  </w:style>
  <w:style w:type="paragraph" w:customStyle="1" w:styleId="Body1">
    <w:name w:val="Body 1"/>
    <w:rsid w:val="00F83712"/>
    <w:pPr>
      <w:outlineLvl w:val="0"/>
    </w:pPr>
    <w:rPr>
      <w:rFonts w:eastAsia="Arial Unicode MS"/>
      <w:color w:val="000000"/>
      <w:sz w:val="24"/>
      <w:u w:color="000000"/>
    </w:rPr>
  </w:style>
  <w:style w:type="character" w:customStyle="1" w:styleId="FooterChar">
    <w:name w:val="Footer Char"/>
    <w:link w:val="Footer"/>
    <w:uiPriority w:val="99"/>
    <w:rsid w:val="00FF793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2124">
      <w:bodyDiv w:val="1"/>
      <w:marLeft w:val="0"/>
      <w:marRight w:val="0"/>
      <w:marTop w:val="0"/>
      <w:marBottom w:val="0"/>
      <w:divBdr>
        <w:top w:val="none" w:sz="0" w:space="0" w:color="auto"/>
        <w:left w:val="none" w:sz="0" w:space="0" w:color="auto"/>
        <w:bottom w:val="none" w:sz="0" w:space="0" w:color="auto"/>
        <w:right w:val="none" w:sz="0" w:space="0" w:color="auto"/>
      </w:divBdr>
    </w:div>
    <w:div w:id="1007631266">
      <w:bodyDiv w:val="1"/>
      <w:marLeft w:val="0"/>
      <w:marRight w:val="0"/>
      <w:marTop w:val="0"/>
      <w:marBottom w:val="0"/>
      <w:divBdr>
        <w:top w:val="none" w:sz="0" w:space="0" w:color="auto"/>
        <w:left w:val="none" w:sz="0" w:space="0" w:color="auto"/>
        <w:bottom w:val="none" w:sz="0" w:space="0" w:color="auto"/>
        <w:right w:val="none" w:sz="0" w:space="0" w:color="auto"/>
      </w:divBdr>
    </w:div>
    <w:div w:id="20186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kÕ ho¹ch</vt:lpstr>
    </vt:vector>
  </TitlesOfParts>
  <Company>TEL:0987294354</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kÕ ho¹ch</dc:title>
  <dc:creator>Service</dc:creator>
  <cp:lastModifiedBy>User</cp:lastModifiedBy>
  <cp:revision>3</cp:revision>
  <cp:lastPrinted>2017-11-01T01:29:00Z</cp:lastPrinted>
  <dcterms:created xsi:type="dcterms:W3CDTF">2017-11-20T02:24:00Z</dcterms:created>
  <dcterms:modified xsi:type="dcterms:W3CDTF">2017-11-20T02:25:00Z</dcterms:modified>
</cp:coreProperties>
</file>