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80" w:type="dxa"/>
        <w:tblInd w:w="-79" w:type="dxa"/>
        <w:shd w:val="clear" w:color="auto" w:fill="FFFFFF"/>
        <w:tblCellMar>
          <w:left w:w="0" w:type="dxa"/>
          <w:right w:w="0" w:type="dxa"/>
        </w:tblCellMar>
        <w:tblLook w:val="04A0" w:firstRow="1" w:lastRow="0" w:firstColumn="1" w:lastColumn="0" w:noHBand="0" w:noVBand="1"/>
      </w:tblPr>
      <w:tblGrid>
        <w:gridCol w:w="3615"/>
        <w:gridCol w:w="5965"/>
      </w:tblGrid>
      <w:tr w:rsidR="00611627" w:rsidRPr="00E94599" w:rsidTr="004F39BC">
        <w:trPr>
          <w:trHeight w:val="1099"/>
        </w:trPr>
        <w:tc>
          <w:tcPr>
            <w:tcW w:w="3615" w:type="dxa"/>
            <w:shd w:val="clear" w:color="auto" w:fill="FFFFFF"/>
            <w:tcMar>
              <w:top w:w="0" w:type="dxa"/>
              <w:left w:w="108" w:type="dxa"/>
              <w:bottom w:w="0" w:type="dxa"/>
              <w:right w:w="108" w:type="dxa"/>
            </w:tcMar>
          </w:tcPr>
          <w:p w:rsidR="004F39BC" w:rsidRPr="00E94599" w:rsidRDefault="001100BC" w:rsidP="004F39BC">
            <w:pPr>
              <w:jc w:val="center"/>
              <w:rPr>
                <w:b/>
                <w:bCs/>
                <w:sz w:val="26"/>
              </w:rPr>
            </w:pPr>
            <w:bookmarkStart w:id="0" w:name="_GoBack"/>
            <w:bookmarkEnd w:id="0"/>
            <w:r>
              <w:rPr>
                <w:b/>
                <w:bCs/>
                <w:sz w:val="26"/>
              </w:rPr>
              <w:t xml:space="preserve"> </w:t>
            </w:r>
            <w:r w:rsidR="004F39BC" w:rsidRPr="00E94599">
              <w:rPr>
                <w:b/>
                <w:bCs/>
                <w:sz w:val="26"/>
              </w:rPr>
              <w:t>ỦY BAN NHÂN DÂN</w:t>
            </w:r>
          </w:p>
          <w:p w:rsidR="00517C54" w:rsidRPr="00E94599" w:rsidRDefault="004F39BC" w:rsidP="004F39BC">
            <w:pPr>
              <w:jc w:val="center"/>
              <w:rPr>
                <w:b/>
                <w:bCs/>
                <w:sz w:val="26"/>
              </w:rPr>
            </w:pPr>
            <w:r w:rsidRPr="00E94599">
              <w:rPr>
                <w:b/>
                <w:bCs/>
                <w:sz w:val="26"/>
              </w:rPr>
              <w:t>TỈNH HÀ TĨNH</w:t>
            </w:r>
          </w:p>
          <w:p w:rsidR="00611627" w:rsidRPr="00E94599" w:rsidRDefault="00442D9F" w:rsidP="004F39BC">
            <w:pPr>
              <w:jc w:val="center"/>
            </w:pPr>
            <w:r>
              <w:rPr>
                <w:b/>
                <w:bCs/>
                <w:noProof/>
              </w:rPr>
              <mc:AlternateContent>
                <mc:Choice Requires="wps">
                  <w:drawing>
                    <wp:anchor distT="0" distB="0" distL="114300" distR="114300" simplePos="0" relativeHeight="251656704" behindDoc="0" locked="0" layoutInCell="1" allowOverlap="1" wp14:anchorId="72C96A13" wp14:editId="33F75496">
                      <wp:simplePos x="0" y="0"/>
                      <wp:positionH relativeFrom="column">
                        <wp:posOffset>765810</wp:posOffset>
                      </wp:positionH>
                      <wp:positionV relativeFrom="paragraph">
                        <wp:posOffset>26670</wp:posOffset>
                      </wp:positionV>
                      <wp:extent cx="614045" cy="0"/>
                      <wp:effectExtent l="12700" t="13970" r="11430" b="508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3pt,2.1pt" to="108.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NGg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"/>
                  </w:pict>
                </mc:Fallback>
              </mc:AlternateContent>
            </w:r>
          </w:p>
        </w:tc>
        <w:tc>
          <w:tcPr>
            <w:tcW w:w="5965" w:type="dxa"/>
            <w:shd w:val="clear" w:color="auto" w:fill="FFFFFF"/>
            <w:tcMar>
              <w:top w:w="0" w:type="dxa"/>
              <w:left w:w="108" w:type="dxa"/>
              <w:bottom w:w="0" w:type="dxa"/>
              <w:right w:w="108" w:type="dxa"/>
            </w:tcMar>
          </w:tcPr>
          <w:p w:rsidR="00611627" w:rsidRPr="008B34F0" w:rsidRDefault="00442D9F" w:rsidP="004F39BC">
            <w:pPr>
              <w:jc w:val="center"/>
            </w:pPr>
            <w:r>
              <w:rPr>
                <w:b/>
                <w:bCs/>
                <w:noProof/>
                <w:sz w:val="26"/>
              </w:rPr>
              <mc:AlternateContent>
                <mc:Choice Requires="wps">
                  <w:drawing>
                    <wp:anchor distT="0" distB="0" distL="114300" distR="114300" simplePos="0" relativeHeight="251657728" behindDoc="0" locked="0" layoutInCell="1" allowOverlap="1" wp14:anchorId="3274D7BC" wp14:editId="47850796">
                      <wp:simplePos x="0" y="0"/>
                      <wp:positionH relativeFrom="column">
                        <wp:posOffset>749935</wp:posOffset>
                      </wp:positionH>
                      <wp:positionV relativeFrom="paragraph">
                        <wp:posOffset>434975</wp:posOffset>
                      </wp:positionV>
                      <wp:extent cx="2143125" cy="0"/>
                      <wp:effectExtent l="6350" t="13970" r="12700" b="50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59.05pt;margin-top:34.25pt;width:16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"/>
                  </w:pict>
                </mc:Fallback>
              </mc:AlternateContent>
            </w:r>
            <w:r w:rsidR="00611627" w:rsidRPr="00E94599">
              <w:rPr>
                <w:b/>
                <w:bCs/>
                <w:sz w:val="26"/>
              </w:rPr>
              <w:t xml:space="preserve">CỘNG HÒA XÃ HỘI CHỦ NGHĨA VIỆT </w:t>
            </w:r>
            <w:smartTag w:uri="urn:schemas-microsoft-com:office:smarttags" w:element="place">
              <w:smartTag w:uri="urn:schemas-microsoft-com:office:smarttags" w:element="country-region">
                <w:r w:rsidR="00611627" w:rsidRPr="00E94599">
                  <w:rPr>
                    <w:b/>
                    <w:bCs/>
                    <w:sz w:val="26"/>
                  </w:rPr>
                  <w:t>NAM</w:t>
                </w:r>
              </w:smartTag>
            </w:smartTag>
            <w:r w:rsidR="00611627" w:rsidRPr="00E94599">
              <w:rPr>
                <w:b/>
                <w:bCs/>
                <w:sz w:val="26"/>
              </w:rPr>
              <w:br/>
            </w:r>
            <w:r w:rsidR="00611627" w:rsidRPr="00E94599">
              <w:rPr>
                <w:b/>
                <w:bCs/>
              </w:rPr>
              <w:t>Độc lập - Tự do - Hạnh phúc</w:t>
            </w:r>
            <w:r w:rsidR="00611627" w:rsidRPr="00E94599">
              <w:rPr>
                <w:b/>
                <w:bCs/>
              </w:rPr>
              <w:br/>
            </w:r>
          </w:p>
        </w:tc>
      </w:tr>
      <w:tr w:rsidR="00611627" w:rsidRPr="00E94599" w:rsidTr="004F39BC">
        <w:trPr>
          <w:trHeight w:val="413"/>
        </w:trPr>
        <w:tc>
          <w:tcPr>
            <w:tcW w:w="3615" w:type="dxa"/>
            <w:shd w:val="clear" w:color="auto" w:fill="FFFFFF"/>
            <w:tcMar>
              <w:top w:w="0" w:type="dxa"/>
              <w:left w:w="108" w:type="dxa"/>
              <w:bottom w:w="0" w:type="dxa"/>
              <w:right w:w="108" w:type="dxa"/>
            </w:tcMar>
          </w:tcPr>
          <w:p w:rsidR="00611627" w:rsidRPr="00E94599" w:rsidRDefault="00611627" w:rsidP="00235236">
            <w:pPr>
              <w:jc w:val="center"/>
            </w:pPr>
            <w:r w:rsidRPr="00E94599">
              <w:t>Số</w:t>
            </w:r>
            <w:r w:rsidR="00235236" w:rsidRPr="00E94599">
              <w:t>: </w:t>
            </w:r>
            <w:r w:rsidR="00235236">
              <w:t>403</w:t>
            </w:r>
            <w:r w:rsidRPr="00E94599">
              <w:t>/BC-</w:t>
            </w:r>
            <w:r w:rsidR="004F39BC" w:rsidRPr="00E94599">
              <w:t>UBND</w:t>
            </w:r>
          </w:p>
        </w:tc>
        <w:tc>
          <w:tcPr>
            <w:tcW w:w="5965" w:type="dxa"/>
            <w:shd w:val="clear" w:color="auto" w:fill="FFFFFF"/>
            <w:tcMar>
              <w:top w:w="0" w:type="dxa"/>
              <w:left w:w="108" w:type="dxa"/>
              <w:bottom w:w="0" w:type="dxa"/>
              <w:right w:w="108" w:type="dxa"/>
            </w:tcMar>
          </w:tcPr>
          <w:p w:rsidR="00611627" w:rsidRPr="00E94599" w:rsidRDefault="00B80A29" w:rsidP="00235236">
            <w:pPr>
              <w:jc w:val="center"/>
            </w:pPr>
            <w:r>
              <w:rPr>
                <w:i/>
                <w:iCs/>
              </w:rPr>
              <w:t xml:space="preserve">         </w:t>
            </w:r>
            <w:r w:rsidR="00C31A85" w:rsidRPr="00E94599">
              <w:rPr>
                <w:i/>
                <w:iCs/>
              </w:rPr>
              <w:t xml:space="preserve">Hà Tĩnh, </w:t>
            </w:r>
            <w:r w:rsidR="00235236" w:rsidRPr="00E94599">
              <w:rPr>
                <w:i/>
                <w:iCs/>
              </w:rPr>
              <w:t xml:space="preserve">ngày </w:t>
            </w:r>
            <w:r w:rsidR="00235236">
              <w:rPr>
                <w:i/>
                <w:iCs/>
              </w:rPr>
              <w:t xml:space="preserve"> 07</w:t>
            </w:r>
            <w:r w:rsidR="00235236" w:rsidRPr="00E94599">
              <w:rPr>
                <w:i/>
                <w:iCs/>
              </w:rPr>
              <w:t xml:space="preserve"> </w:t>
            </w:r>
            <w:r w:rsidR="00C31A85" w:rsidRPr="00E94599">
              <w:rPr>
                <w:i/>
                <w:iCs/>
              </w:rPr>
              <w:t>tháng</w:t>
            </w:r>
            <w:r w:rsidR="00611627" w:rsidRPr="00E94599">
              <w:rPr>
                <w:i/>
                <w:iCs/>
              </w:rPr>
              <w:t xml:space="preserve"> </w:t>
            </w:r>
            <w:r w:rsidR="00805A12">
              <w:rPr>
                <w:i/>
                <w:iCs/>
              </w:rPr>
              <w:t>1</w:t>
            </w:r>
            <w:r w:rsidR="000658D9">
              <w:rPr>
                <w:i/>
                <w:iCs/>
              </w:rPr>
              <w:t>2</w:t>
            </w:r>
            <w:r w:rsidR="0030407B" w:rsidRPr="00E94599">
              <w:rPr>
                <w:i/>
                <w:iCs/>
              </w:rPr>
              <w:t xml:space="preserve"> </w:t>
            </w:r>
            <w:r w:rsidR="00611627" w:rsidRPr="00E94599">
              <w:rPr>
                <w:i/>
                <w:iCs/>
              </w:rPr>
              <w:t>năm 201</w:t>
            </w:r>
            <w:r w:rsidR="007404EF">
              <w:rPr>
                <w:i/>
                <w:iCs/>
              </w:rPr>
              <w:t>7</w:t>
            </w:r>
          </w:p>
        </w:tc>
      </w:tr>
    </w:tbl>
    <w:p w:rsidR="00C93433" w:rsidRPr="00C93433" w:rsidRDefault="00C93433" w:rsidP="009A16B5">
      <w:pPr>
        <w:jc w:val="center"/>
        <w:rPr>
          <w:b/>
          <w:bCs/>
          <w:sz w:val="18"/>
          <w:lang w:val="it-IT"/>
        </w:rPr>
      </w:pPr>
    </w:p>
    <w:p w:rsidR="009A16B5" w:rsidRPr="00E94599" w:rsidRDefault="009A16B5" w:rsidP="006061A3">
      <w:pPr>
        <w:jc w:val="center"/>
        <w:rPr>
          <w:b/>
          <w:bCs/>
          <w:lang w:val="it-IT"/>
        </w:rPr>
      </w:pPr>
      <w:r w:rsidRPr="00E94599">
        <w:rPr>
          <w:b/>
          <w:bCs/>
          <w:lang w:val="it-IT"/>
        </w:rPr>
        <w:t>BÁO CÁO</w:t>
      </w:r>
    </w:p>
    <w:p w:rsidR="009A16B5" w:rsidRDefault="009A16B5" w:rsidP="009A16B5">
      <w:pPr>
        <w:jc w:val="center"/>
        <w:rPr>
          <w:b/>
          <w:bCs/>
          <w:lang w:val="it-IT"/>
        </w:rPr>
      </w:pPr>
      <w:r>
        <w:rPr>
          <w:b/>
          <w:bCs/>
          <w:lang w:val="it-IT"/>
        </w:rPr>
        <w:t>Kế hoạch đầu tư công trung hạn giai đoạn 2016-2020</w:t>
      </w:r>
    </w:p>
    <w:p w:rsidR="009A16B5" w:rsidRPr="00A868A3" w:rsidRDefault="009A16B5" w:rsidP="00D01A13">
      <w:pPr>
        <w:jc w:val="center"/>
        <w:rPr>
          <w:bCs/>
          <w:i/>
          <w:lang w:val="it-IT"/>
        </w:rPr>
      </w:pPr>
      <w:r w:rsidRPr="00A868A3">
        <w:rPr>
          <w:bCs/>
          <w:i/>
          <w:lang w:val="it-IT"/>
        </w:rPr>
        <w:t>(</w:t>
      </w:r>
      <w:r w:rsidR="00F357E7" w:rsidRPr="00F765F3">
        <w:rPr>
          <w:i/>
          <w:color w:val="000000"/>
          <w:sz w:val="27"/>
          <w:szCs w:val="27"/>
          <w:lang w:val="it-IT"/>
        </w:rPr>
        <w:t xml:space="preserve">Báo cáo của UBND tỉnh trình tại </w:t>
      </w:r>
      <w:r w:rsidR="00F357E7" w:rsidRPr="00F765F3">
        <w:rPr>
          <w:i/>
          <w:color w:val="000000"/>
          <w:sz w:val="27"/>
          <w:szCs w:val="27"/>
          <w:lang w:val="vi-VN"/>
        </w:rPr>
        <w:t xml:space="preserve">Kỳ họp thứ </w:t>
      </w:r>
      <w:r w:rsidR="00F357E7">
        <w:rPr>
          <w:i/>
          <w:color w:val="000000"/>
          <w:sz w:val="27"/>
          <w:szCs w:val="27"/>
        </w:rPr>
        <w:t>5</w:t>
      </w:r>
      <w:r w:rsidR="00F357E7" w:rsidRPr="00F765F3">
        <w:rPr>
          <w:i/>
          <w:color w:val="000000"/>
          <w:sz w:val="27"/>
          <w:szCs w:val="27"/>
          <w:lang w:val="vi-VN"/>
        </w:rPr>
        <w:t>, HĐND tỉnh khóa XVI</w:t>
      </w:r>
      <w:r w:rsidR="00F357E7" w:rsidRPr="00F765F3">
        <w:rPr>
          <w:i/>
          <w:color w:val="000000"/>
          <w:sz w:val="27"/>
          <w:szCs w:val="27"/>
        </w:rPr>
        <w:t>I</w:t>
      </w:r>
      <w:r>
        <w:rPr>
          <w:bCs/>
          <w:i/>
          <w:lang w:val="it-IT"/>
        </w:rPr>
        <w:t xml:space="preserve">)  </w:t>
      </w:r>
    </w:p>
    <w:p w:rsidR="00611627" w:rsidRPr="00E94599" w:rsidRDefault="00442D9F" w:rsidP="000B6AAE">
      <w:pPr>
        <w:tabs>
          <w:tab w:val="left" w:pos="2251"/>
          <w:tab w:val="center" w:pos="4592"/>
        </w:tabs>
        <w:rPr>
          <w:b/>
          <w:bCs/>
          <w:lang w:val="it-IT"/>
        </w:rPr>
      </w:pPr>
      <w:r>
        <w:rPr>
          <w:b/>
          <w:bCs/>
          <w:noProof/>
        </w:rPr>
        <mc:AlternateContent>
          <mc:Choice Requires="wps">
            <w:drawing>
              <wp:anchor distT="0" distB="0" distL="114300" distR="114300" simplePos="0" relativeHeight="251658752" behindDoc="0" locked="0" layoutInCell="1" allowOverlap="1" wp14:anchorId="79DDFB51" wp14:editId="53FF48D0">
                <wp:simplePos x="0" y="0"/>
                <wp:positionH relativeFrom="column">
                  <wp:posOffset>2553970</wp:posOffset>
                </wp:positionH>
                <wp:positionV relativeFrom="paragraph">
                  <wp:posOffset>60960</wp:posOffset>
                </wp:positionV>
                <wp:extent cx="629920" cy="0"/>
                <wp:effectExtent l="12700" t="13970" r="5080" b="508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01.1pt;margin-top:4.8pt;width:49.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"/>
            </w:pict>
          </mc:Fallback>
        </mc:AlternateContent>
      </w:r>
      <w:r w:rsidR="003F17C4">
        <w:rPr>
          <w:b/>
          <w:bCs/>
          <w:lang w:val="it-IT"/>
        </w:rPr>
        <w:tab/>
      </w:r>
      <w:r w:rsidR="003F17C4">
        <w:rPr>
          <w:b/>
          <w:bCs/>
          <w:lang w:val="it-IT"/>
        </w:rPr>
        <w:tab/>
      </w:r>
    </w:p>
    <w:p w:rsidR="00332EBB" w:rsidRDefault="00332EBB" w:rsidP="002517CD">
      <w:pPr>
        <w:spacing w:before="120" w:line="276" w:lineRule="auto"/>
        <w:ind w:firstLine="720"/>
        <w:jc w:val="both"/>
        <w:rPr>
          <w:sz w:val="2"/>
          <w:lang w:val="nl-NL"/>
        </w:rPr>
      </w:pPr>
    </w:p>
    <w:p w:rsidR="006842AF" w:rsidRPr="00332EBB" w:rsidRDefault="006842AF" w:rsidP="002517CD">
      <w:pPr>
        <w:spacing w:before="120" w:line="276" w:lineRule="auto"/>
        <w:ind w:firstLine="720"/>
        <w:jc w:val="both"/>
        <w:rPr>
          <w:sz w:val="2"/>
          <w:lang w:val="nl-NL"/>
        </w:rPr>
      </w:pPr>
    </w:p>
    <w:p w:rsidR="00B429FE" w:rsidRDefault="00B429FE" w:rsidP="0080263D">
      <w:pPr>
        <w:jc w:val="center"/>
        <w:rPr>
          <w:b/>
        </w:rPr>
      </w:pPr>
      <w:r w:rsidRPr="00E32225">
        <w:rPr>
          <w:b/>
        </w:rPr>
        <w:t>Phần thứ nhất:</w:t>
      </w:r>
    </w:p>
    <w:p w:rsidR="006657CE" w:rsidRPr="00E32225" w:rsidRDefault="006657CE" w:rsidP="0023463D">
      <w:pPr>
        <w:jc w:val="center"/>
        <w:rPr>
          <w:b/>
        </w:rPr>
      </w:pPr>
      <w:r>
        <w:rPr>
          <w:b/>
        </w:rPr>
        <w:t>Tình hình thực hiện kế hoạch đầu tư phát t</w:t>
      </w:r>
      <w:r w:rsidR="0080263D">
        <w:rPr>
          <w:b/>
        </w:rPr>
        <w:t>r</w:t>
      </w:r>
      <w:r>
        <w:rPr>
          <w:b/>
        </w:rPr>
        <w:t>iển giai đoạn 2011-2015</w:t>
      </w:r>
    </w:p>
    <w:p w:rsidR="00611D4D" w:rsidRPr="006E752F" w:rsidRDefault="00611D4D" w:rsidP="00DB5F97">
      <w:pPr>
        <w:jc w:val="center"/>
        <w:rPr>
          <w:b/>
          <w:bCs/>
          <w:sz w:val="2"/>
          <w:szCs w:val="24"/>
          <w:lang w:val="it-IT"/>
        </w:rPr>
      </w:pPr>
    </w:p>
    <w:p w:rsidR="00D77D33" w:rsidRPr="00B542B0" w:rsidRDefault="00D77D33" w:rsidP="00DB5F97">
      <w:pPr>
        <w:jc w:val="center"/>
        <w:rPr>
          <w:b/>
          <w:bCs/>
          <w:sz w:val="18"/>
          <w:szCs w:val="24"/>
          <w:lang w:val="it-IT"/>
        </w:rPr>
      </w:pPr>
    </w:p>
    <w:p w:rsidR="00551D32" w:rsidRDefault="000B0C9B" w:rsidP="00442D9F">
      <w:pPr>
        <w:spacing w:before="120"/>
        <w:ind w:firstLine="720"/>
        <w:jc w:val="both"/>
        <w:rPr>
          <w:lang w:val="nl-NL"/>
        </w:rPr>
      </w:pPr>
      <w:r w:rsidRPr="00777A50">
        <w:rPr>
          <w:lang w:val="nl-NL"/>
        </w:rPr>
        <w:t>Thực hiện kế hoạch đầu tư phát triển giai đoạn 2011-2015 trong bối cảnh tình hình thế giới và khu vực có nhiều diễn biến phức tạp, kinh tế thế giới còn nhiều bất ổn, phục hồi chậm; kinh tế trong nước</w:t>
      </w:r>
      <w:r>
        <w:rPr>
          <w:lang w:val="nl-NL"/>
        </w:rPr>
        <w:t xml:space="preserve"> còn nhiều khó khăn, thách thức;</w:t>
      </w:r>
      <w:r w:rsidRPr="00777A50">
        <w:rPr>
          <w:lang w:val="nl-NL"/>
        </w:rPr>
        <w:t xml:space="preserve"> </w:t>
      </w:r>
      <w:r>
        <w:rPr>
          <w:lang w:val="nl-NL"/>
        </w:rPr>
        <w:t xml:space="preserve">Chính phủ tiếp tục duy trì các </w:t>
      </w:r>
      <w:r w:rsidRPr="00777A50">
        <w:rPr>
          <w:lang w:val="nl-NL"/>
        </w:rPr>
        <w:t xml:space="preserve">chính sách </w:t>
      </w:r>
      <w:r>
        <w:rPr>
          <w:lang w:val="nl-NL"/>
        </w:rPr>
        <w:t xml:space="preserve">thắt chặt đầu tư công nhằm </w:t>
      </w:r>
      <w:r w:rsidRPr="00777A50">
        <w:rPr>
          <w:lang w:val="nl-NL"/>
        </w:rPr>
        <w:t xml:space="preserve">kiềm chế lạm phát, ổn định kinh tế vĩ mô. </w:t>
      </w:r>
      <w:r w:rsidRPr="00E030AC">
        <w:rPr>
          <w:lang w:val="nl-NL"/>
        </w:rPr>
        <w:t>Nhưng</w:t>
      </w:r>
      <w:r w:rsidR="00460697">
        <w:rPr>
          <w:lang w:val="nl-NL"/>
        </w:rPr>
        <w:t>,</w:t>
      </w:r>
      <w:r w:rsidRPr="00E030AC">
        <w:rPr>
          <w:lang w:val="nl-NL"/>
        </w:rPr>
        <w:t xml:space="preserve"> với </w:t>
      </w:r>
      <w:r w:rsidRPr="00D70756">
        <w:rPr>
          <w:lang w:val="nl-NL"/>
        </w:rPr>
        <w:t>sự lãnh đạo, chỉ đạo</w:t>
      </w:r>
      <w:r w:rsidRPr="00E030AC">
        <w:rPr>
          <w:lang w:val="nl-NL"/>
        </w:rPr>
        <w:t xml:space="preserve">, </w:t>
      </w:r>
      <w:r w:rsidRPr="00D70756">
        <w:rPr>
          <w:lang w:val="nl-NL"/>
        </w:rPr>
        <w:t xml:space="preserve">điều hành </w:t>
      </w:r>
      <w:r w:rsidRPr="00E030AC">
        <w:rPr>
          <w:lang w:val="nl-NL"/>
        </w:rPr>
        <w:t xml:space="preserve">quyết liệt, sâu sát </w:t>
      </w:r>
      <w:r w:rsidRPr="00D70756">
        <w:rPr>
          <w:lang w:val="nl-NL"/>
        </w:rPr>
        <w:t xml:space="preserve">của </w:t>
      </w:r>
      <w:r w:rsidRPr="00E030AC">
        <w:rPr>
          <w:lang w:val="nl-NL"/>
        </w:rPr>
        <w:t>cấp ủy, chính quyền các cấp;</w:t>
      </w:r>
      <w:r w:rsidRPr="00D70756">
        <w:rPr>
          <w:lang w:val="nl-NL"/>
        </w:rPr>
        <w:t xml:space="preserve"> </w:t>
      </w:r>
      <w:r w:rsidRPr="00E030AC">
        <w:rPr>
          <w:lang w:val="nl-NL"/>
        </w:rPr>
        <w:t>sự quyết tâm cao của</w:t>
      </w:r>
      <w:r w:rsidR="0019174E">
        <w:rPr>
          <w:lang w:val="nl-NL"/>
        </w:rPr>
        <w:t xml:space="preserve"> cả</w:t>
      </w:r>
      <w:r w:rsidRPr="00E030AC">
        <w:rPr>
          <w:lang w:val="nl-NL"/>
        </w:rPr>
        <w:t xml:space="preserve"> hệ thống chính trị, nỗ lực của toàn dân và cộng đồng doanh nghiệp</w:t>
      </w:r>
      <w:r w:rsidRPr="00777A50">
        <w:rPr>
          <w:lang w:val="nl-NL"/>
        </w:rPr>
        <w:t xml:space="preserve">, </w:t>
      </w:r>
      <w:r>
        <w:rPr>
          <w:lang w:val="nl-NL"/>
        </w:rPr>
        <w:t>cùng với cơ chế điều hành thông thoáng, linh hoạt</w:t>
      </w:r>
      <w:r w:rsidRPr="00DF65B8">
        <w:rPr>
          <w:lang w:val="nl-NL"/>
        </w:rPr>
        <w:t xml:space="preserve"> </w:t>
      </w:r>
      <w:r>
        <w:rPr>
          <w:lang w:val="nl-NL"/>
        </w:rPr>
        <w:t>nên việc thu hút các nguồn vốn đầu tư trên địa bàn trong những năm qua đã đạt kết quả cao</w:t>
      </w:r>
      <w:r w:rsidRPr="00DF65B8">
        <w:rPr>
          <w:lang w:val="nl-NL"/>
        </w:rPr>
        <w:t>.</w:t>
      </w:r>
      <w:r>
        <w:rPr>
          <w:lang w:val="nl-NL"/>
        </w:rPr>
        <w:t xml:space="preserve"> Hầu hết các công trình kết cấu hạ tầng quan trọng của tỉnh đều đã được đầu tư, đưa vào khai thác sử dụng phát huy hiệu quả, là động lực </w:t>
      </w:r>
      <w:r w:rsidR="00935BE7">
        <w:rPr>
          <w:lang w:val="nl-NL"/>
        </w:rPr>
        <w:t xml:space="preserve">cho sự </w:t>
      </w:r>
      <w:r>
        <w:rPr>
          <w:lang w:val="nl-NL"/>
        </w:rPr>
        <w:t>phát triển kinh tế xã hội, t</w:t>
      </w:r>
      <w:r w:rsidRPr="00E030AC">
        <w:rPr>
          <w:lang w:val="nl-NL"/>
        </w:rPr>
        <w:t>ạo</w:t>
      </w:r>
      <w:r>
        <w:rPr>
          <w:lang w:val="nl-NL"/>
        </w:rPr>
        <w:t xml:space="preserve"> tiền đề cho những năm tiếp theo.</w:t>
      </w:r>
    </w:p>
    <w:p w:rsidR="00460697" w:rsidRPr="00990812" w:rsidRDefault="00460697" w:rsidP="00442D9F">
      <w:pPr>
        <w:spacing w:before="120"/>
        <w:ind w:firstLine="720"/>
        <w:jc w:val="both"/>
        <w:rPr>
          <w:b/>
          <w:lang w:val="nl-NL"/>
        </w:rPr>
      </w:pPr>
      <w:r w:rsidRPr="00990812">
        <w:rPr>
          <w:b/>
          <w:lang w:val="nl-NL"/>
        </w:rPr>
        <w:t>I. Kết quả đạt được</w:t>
      </w:r>
    </w:p>
    <w:p w:rsidR="00015D32" w:rsidRPr="00E94599" w:rsidRDefault="00015D32" w:rsidP="00442D9F">
      <w:pPr>
        <w:spacing w:before="120"/>
        <w:ind w:firstLine="720"/>
        <w:jc w:val="both"/>
        <w:rPr>
          <w:b/>
          <w:bCs/>
          <w:lang w:val="nl-NL"/>
        </w:rPr>
      </w:pPr>
      <w:r w:rsidRPr="00E94599">
        <w:rPr>
          <w:b/>
          <w:bCs/>
          <w:lang w:val="nl-NL"/>
        </w:rPr>
        <w:t xml:space="preserve">1. </w:t>
      </w:r>
      <w:r w:rsidR="00CF14A0">
        <w:rPr>
          <w:b/>
          <w:bCs/>
          <w:lang w:val="nl-NL"/>
        </w:rPr>
        <w:t>Về</w:t>
      </w:r>
      <w:r w:rsidRPr="00E94599">
        <w:rPr>
          <w:b/>
          <w:bCs/>
          <w:lang w:val="nl-NL"/>
        </w:rPr>
        <w:t xml:space="preserve"> huy động </w:t>
      </w:r>
      <w:r w:rsidR="00A25EA8">
        <w:rPr>
          <w:b/>
          <w:bCs/>
          <w:lang w:val="nl-NL"/>
        </w:rPr>
        <w:t>và sử dụng các</w:t>
      </w:r>
      <w:r w:rsidRPr="00E94599">
        <w:rPr>
          <w:b/>
          <w:bCs/>
          <w:lang w:val="nl-NL"/>
        </w:rPr>
        <w:t xml:space="preserve"> nguồn vốn đầu tư phát triển giai đoạn 2011-201</w:t>
      </w:r>
      <w:r w:rsidR="0010140C">
        <w:rPr>
          <w:b/>
          <w:bCs/>
          <w:lang w:val="nl-NL"/>
        </w:rPr>
        <w:t>5</w:t>
      </w:r>
    </w:p>
    <w:p w:rsidR="00015D32" w:rsidRPr="00DF65B8" w:rsidRDefault="00015D32" w:rsidP="00442D9F">
      <w:pPr>
        <w:spacing w:before="120"/>
        <w:ind w:firstLine="720"/>
        <w:jc w:val="both"/>
        <w:rPr>
          <w:bCs/>
          <w:lang w:val="nl-NL"/>
        </w:rPr>
      </w:pPr>
      <w:r w:rsidRPr="00DF65B8">
        <w:rPr>
          <w:lang w:val="nl-NL"/>
        </w:rPr>
        <w:t>G</w:t>
      </w:r>
      <w:r w:rsidRPr="00777A50">
        <w:rPr>
          <w:lang w:val="nl-NL"/>
        </w:rPr>
        <w:t>iai đoạn 2011-2015</w:t>
      </w:r>
      <w:r w:rsidR="0019174E">
        <w:rPr>
          <w:lang w:val="nl-NL"/>
        </w:rPr>
        <w:t>,</w:t>
      </w:r>
      <w:r w:rsidRPr="00777A50">
        <w:rPr>
          <w:lang w:val="nl-NL"/>
        </w:rPr>
        <w:t xml:space="preserve"> tổng vốn đầu tư toàn xã hội trên địa bàn tỉnh đạt 286</w:t>
      </w:r>
      <w:r>
        <w:rPr>
          <w:lang w:val="nl-NL"/>
        </w:rPr>
        <w:t>.906</w:t>
      </w:r>
      <w:r w:rsidRPr="00777A50">
        <w:rPr>
          <w:lang w:val="nl-NL"/>
        </w:rPr>
        <w:t xml:space="preserve"> tỷ đồng, tăng 24,74% so với mục tiêu Nghị quyết Đại hội Đảng bộ tỉnh lần thứ XVII đề ra và gấp gần 8,5 lần so với giai đoạn 2006-2010. </w:t>
      </w:r>
      <w:r w:rsidRPr="00DF65B8">
        <w:rPr>
          <w:lang w:val="nl-NL"/>
        </w:rPr>
        <w:t xml:space="preserve">Cơ cấu nguồn vốn đầu tư đã có sự chuyển biến mạnh mẽ: Tỷ trọng vốn đầu tư từ khu vực nhà nước giảm từ </w:t>
      </w:r>
      <w:r w:rsidRPr="00DF65B8">
        <w:rPr>
          <w:lang w:val="vi-VN"/>
        </w:rPr>
        <w:t>41</w:t>
      </w:r>
      <w:r w:rsidRPr="00DF65B8">
        <w:rPr>
          <w:lang w:val="nl-NL"/>
        </w:rPr>
        <w:t xml:space="preserve">,2% năm 2011 xuống còn </w:t>
      </w:r>
      <w:r w:rsidRPr="00DF65B8">
        <w:rPr>
          <w:lang w:val="vi-VN"/>
        </w:rPr>
        <w:t>1</w:t>
      </w:r>
      <w:r w:rsidRPr="00DF65B8">
        <w:rPr>
          <w:lang w:val="nl-NL"/>
        </w:rPr>
        <w:t>3</w:t>
      </w:r>
      <w:r w:rsidRPr="00DF65B8">
        <w:rPr>
          <w:lang w:val="vi-VN"/>
        </w:rPr>
        <w:t>,</w:t>
      </w:r>
      <w:r w:rsidRPr="00DF65B8">
        <w:rPr>
          <w:lang w:val="nl-NL"/>
        </w:rPr>
        <w:t>01% năm 2015; vốn đầu tư trực tiếp nước ngoài tăng từ 3</w:t>
      </w:r>
      <w:r w:rsidRPr="00DF65B8">
        <w:rPr>
          <w:lang w:val="vi-VN"/>
        </w:rPr>
        <w:t>2</w:t>
      </w:r>
      <w:r w:rsidRPr="00DF65B8">
        <w:rPr>
          <w:lang w:val="nl-NL"/>
        </w:rPr>
        <w:t>,</w:t>
      </w:r>
      <w:r w:rsidRPr="00DF65B8">
        <w:rPr>
          <w:lang w:val="vi-VN"/>
        </w:rPr>
        <w:t>19</w:t>
      </w:r>
      <w:r w:rsidRPr="00DF65B8">
        <w:rPr>
          <w:lang w:val="nl-NL"/>
        </w:rPr>
        <w:t xml:space="preserve">% năm 2011 lên </w:t>
      </w:r>
      <w:r>
        <w:rPr>
          <w:lang w:val="nl-NL"/>
        </w:rPr>
        <w:t>75</w:t>
      </w:r>
      <w:r w:rsidRPr="00DF65B8">
        <w:rPr>
          <w:lang w:val="nl-NL"/>
        </w:rPr>
        <w:t>,</w:t>
      </w:r>
      <w:r>
        <w:rPr>
          <w:lang w:val="nl-NL"/>
        </w:rPr>
        <w:t>7</w:t>
      </w:r>
      <w:r w:rsidRPr="00DF65B8">
        <w:rPr>
          <w:lang w:val="vi-VN"/>
        </w:rPr>
        <w:t>9</w:t>
      </w:r>
      <w:r w:rsidRPr="00DF65B8">
        <w:rPr>
          <w:lang w:val="nl-NL"/>
        </w:rPr>
        <w:t xml:space="preserve">% năm 2015. </w:t>
      </w:r>
      <w:r w:rsidR="00DF4DB0">
        <w:rPr>
          <w:lang w:val="nl-NL"/>
        </w:rPr>
        <w:t>Cụ thể:</w:t>
      </w:r>
    </w:p>
    <w:p w:rsidR="005A7A51" w:rsidRPr="003905AB" w:rsidRDefault="00DF4DB0" w:rsidP="00442D9F">
      <w:pPr>
        <w:spacing w:before="120"/>
        <w:ind w:firstLine="720"/>
        <w:jc w:val="both"/>
        <w:rPr>
          <w:lang w:val="vi-VN"/>
        </w:rPr>
      </w:pPr>
      <w:r>
        <w:rPr>
          <w:b/>
          <w:lang w:val="nl-NL"/>
        </w:rPr>
        <w:t>-</w:t>
      </w:r>
      <w:r w:rsidR="005A7A51" w:rsidRPr="00DF4DB0">
        <w:rPr>
          <w:b/>
          <w:lang w:val="vi-VN"/>
        </w:rPr>
        <w:t xml:space="preserve"> Vốn khu vực nhà nước</w:t>
      </w:r>
      <w:r w:rsidR="005A7A51" w:rsidRPr="00E94599">
        <w:rPr>
          <w:lang w:val="vi-VN"/>
        </w:rPr>
        <w:t xml:space="preserve"> là </w:t>
      </w:r>
      <w:r w:rsidR="00E82BDD" w:rsidRPr="00E94599">
        <w:rPr>
          <w:lang w:val="vi-VN"/>
        </w:rPr>
        <w:t>4</w:t>
      </w:r>
      <w:r w:rsidR="00F956D3" w:rsidRPr="00F956D3">
        <w:rPr>
          <w:lang w:val="vi-VN"/>
        </w:rPr>
        <w:t>6</w:t>
      </w:r>
      <w:r w:rsidR="005A7A51" w:rsidRPr="00E94599">
        <w:rPr>
          <w:lang w:val="vi-VN"/>
        </w:rPr>
        <w:t>.</w:t>
      </w:r>
      <w:r w:rsidR="00F956D3" w:rsidRPr="00BE0B4F">
        <w:rPr>
          <w:lang w:val="vi-VN"/>
        </w:rPr>
        <w:t>856</w:t>
      </w:r>
      <w:r w:rsidR="005A7A51" w:rsidRPr="00E94599">
        <w:rPr>
          <w:lang w:val="vi-VN"/>
        </w:rPr>
        <w:t xml:space="preserve"> tỷ đồng, chiếm </w:t>
      </w:r>
      <w:r w:rsidR="00E82BDD" w:rsidRPr="00E94599">
        <w:rPr>
          <w:lang w:val="vi-VN"/>
        </w:rPr>
        <w:t>16,</w:t>
      </w:r>
      <w:r w:rsidR="00BE0B4F" w:rsidRPr="00852CBD">
        <w:rPr>
          <w:lang w:val="vi-VN"/>
        </w:rPr>
        <w:t>33</w:t>
      </w:r>
      <w:r w:rsidR="005A7A51" w:rsidRPr="00E94599">
        <w:rPr>
          <w:lang w:val="vi-VN"/>
        </w:rPr>
        <w:t>% tổng vốn đầu tư toàn xã hội và có xu hướng giảm mạnh (từ 4</w:t>
      </w:r>
      <w:r w:rsidR="009C7FC9" w:rsidRPr="00E94599">
        <w:rPr>
          <w:lang w:val="vi-VN"/>
        </w:rPr>
        <w:t>1,2</w:t>
      </w:r>
      <w:r w:rsidR="005A7A51" w:rsidRPr="00E94599">
        <w:rPr>
          <w:lang w:val="vi-VN"/>
        </w:rPr>
        <w:t xml:space="preserve">% năm 2011 giảm còn </w:t>
      </w:r>
      <w:r w:rsidR="009C7FC9" w:rsidRPr="00E94599">
        <w:rPr>
          <w:lang w:val="vi-VN"/>
        </w:rPr>
        <w:t>13,</w:t>
      </w:r>
      <w:r w:rsidR="003C1682" w:rsidRPr="00E94599">
        <w:rPr>
          <w:lang w:val="vi-VN"/>
        </w:rPr>
        <w:t>0</w:t>
      </w:r>
      <w:r w:rsidR="0019174E" w:rsidRPr="00C37FDD">
        <w:rPr>
          <w:lang w:val="nl-NL"/>
        </w:rPr>
        <w:t>1</w:t>
      </w:r>
      <w:r w:rsidR="005A7A51" w:rsidRPr="00E94599">
        <w:rPr>
          <w:lang w:val="vi-VN"/>
        </w:rPr>
        <w:t>% năm 2015). Trong nội bộ nguồn vốn này, vốn NSNN</w:t>
      </w:r>
      <w:r w:rsidR="009C7FC9" w:rsidRPr="00E94599">
        <w:rPr>
          <w:lang w:val="vi-VN"/>
        </w:rPr>
        <w:t xml:space="preserve"> và trái phiếu Chính phủ </w:t>
      </w:r>
      <w:r w:rsidR="005A7A51" w:rsidRPr="00E94599">
        <w:rPr>
          <w:lang w:val="vi-VN"/>
        </w:rPr>
        <w:t xml:space="preserve">chiếm tỷ trọng cao nhất, bình quân </w:t>
      </w:r>
      <w:r w:rsidR="00A41D79" w:rsidRPr="00990812">
        <w:rPr>
          <w:lang w:val="vi-VN"/>
        </w:rPr>
        <w:t xml:space="preserve">hằng năm </w:t>
      </w:r>
      <w:r w:rsidR="009C7FC9" w:rsidRPr="00E94599">
        <w:rPr>
          <w:lang w:val="vi-VN"/>
        </w:rPr>
        <w:t>đạt</w:t>
      </w:r>
      <w:r w:rsidR="005A7A51" w:rsidRPr="00E94599">
        <w:rPr>
          <w:lang w:val="vi-VN"/>
        </w:rPr>
        <w:t xml:space="preserve"> </w:t>
      </w:r>
      <w:r w:rsidR="009C7FC9" w:rsidRPr="00E94599">
        <w:rPr>
          <w:lang w:val="vi-VN"/>
        </w:rPr>
        <w:t>76,98</w:t>
      </w:r>
      <w:r w:rsidR="005A7A51" w:rsidRPr="00E94599">
        <w:rPr>
          <w:lang w:val="vi-VN"/>
        </w:rPr>
        <w:t>%. Đầu tư từ khu vực nhà nước là nguồn lực chủ yếu để từng bước hoàn thiện kết cấu hạ tầng kinh tế - xã hội, tạo điều kiện phát triển đồng bộ các ngành, lĩnh vực; cải thiện môi trường đầu tư và đảm bảo an ninh quốc phòng của tỉnh</w:t>
      </w:r>
      <w:r w:rsidR="008E015A" w:rsidRPr="00C37FDD">
        <w:rPr>
          <w:lang w:val="vi-VN"/>
        </w:rPr>
        <w:t>,</w:t>
      </w:r>
      <w:r w:rsidR="005A7A51" w:rsidRPr="00E94599">
        <w:rPr>
          <w:lang w:val="vi-VN"/>
        </w:rPr>
        <w:t xml:space="preserve"> góp phần quan trọng nâng cao chất lượng đời sống của nhân dân.</w:t>
      </w:r>
    </w:p>
    <w:p w:rsidR="005A7A51" w:rsidRPr="00E94599" w:rsidRDefault="00DF4DB0" w:rsidP="00442D9F">
      <w:pPr>
        <w:spacing w:before="120"/>
        <w:ind w:firstLine="720"/>
        <w:jc w:val="both"/>
        <w:rPr>
          <w:lang w:val="vi-VN"/>
        </w:rPr>
      </w:pPr>
      <w:r>
        <w:rPr>
          <w:b/>
        </w:rPr>
        <w:lastRenderedPageBreak/>
        <w:t>-</w:t>
      </w:r>
      <w:r w:rsidR="005A7A51" w:rsidRPr="00DF4DB0">
        <w:rPr>
          <w:b/>
          <w:lang w:val="vi-VN"/>
        </w:rPr>
        <w:t xml:space="preserve"> Vốn khu vực ngoài nhà nước</w:t>
      </w:r>
      <w:r w:rsidR="005A7A51" w:rsidRPr="00E94599">
        <w:rPr>
          <w:lang w:val="vi-VN"/>
        </w:rPr>
        <w:t xml:space="preserve"> là </w:t>
      </w:r>
      <w:r w:rsidR="00EF1287" w:rsidRPr="00E94599">
        <w:rPr>
          <w:lang w:val="vi-VN"/>
        </w:rPr>
        <w:t>39.066</w:t>
      </w:r>
      <w:r w:rsidR="005A7A51" w:rsidRPr="00E94599">
        <w:rPr>
          <w:lang w:val="vi-VN"/>
        </w:rPr>
        <w:t xml:space="preserve"> tỷ đồng, chiếm </w:t>
      </w:r>
      <w:r w:rsidR="00EF1287" w:rsidRPr="00E94599">
        <w:rPr>
          <w:lang w:val="vi-VN"/>
        </w:rPr>
        <w:t>13,</w:t>
      </w:r>
      <w:r w:rsidR="005A7A51" w:rsidRPr="00E94599">
        <w:rPr>
          <w:lang w:val="vi-VN"/>
        </w:rPr>
        <w:t xml:space="preserve">62% tổng vốn đầu tư toàn xã hội, tốc độ tăng bình quân đạt </w:t>
      </w:r>
      <w:r w:rsidR="00EF1287" w:rsidRPr="00E94599">
        <w:rPr>
          <w:lang w:val="vi-VN"/>
        </w:rPr>
        <w:t>19,74</w:t>
      </w:r>
      <w:r w:rsidR="005A7A51" w:rsidRPr="00E94599">
        <w:rPr>
          <w:lang w:val="vi-VN"/>
        </w:rPr>
        <w:t xml:space="preserve">%/năm. Đây là nguồn vốn tiềm năng của nền kinh tế; có vai trò quan trọng nhằm đáp ứng nhu cầu </w:t>
      </w:r>
      <w:r w:rsidR="00EF1287" w:rsidRPr="00E94599">
        <w:rPr>
          <w:lang w:val="vi-VN"/>
        </w:rPr>
        <w:t xml:space="preserve">sản xuất và </w:t>
      </w:r>
      <w:r w:rsidR="005A7A51" w:rsidRPr="00E94599">
        <w:rPr>
          <w:lang w:val="vi-VN"/>
        </w:rPr>
        <w:t>tiêu dùng ngày càng tăng của toàn xã hội, nâng cao sức cạnh tranh và sự năng động của nền kinh tế; thực hiện xóa đói, giảm nghèo và góp phần vào mục tiêu phát triển kinh tế - xã hội của tỉnh.</w:t>
      </w:r>
    </w:p>
    <w:p w:rsidR="00DC2D1C" w:rsidRPr="00990812" w:rsidRDefault="00DF4DB0" w:rsidP="00442D9F">
      <w:pPr>
        <w:spacing w:before="120"/>
        <w:ind w:firstLine="720"/>
        <w:jc w:val="both"/>
        <w:rPr>
          <w:lang w:val="vi-VN"/>
        </w:rPr>
      </w:pPr>
      <w:r w:rsidRPr="00DF4DB0">
        <w:rPr>
          <w:b/>
        </w:rPr>
        <w:t xml:space="preserve">- </w:t>
      </w:r>
      <w:r w:rsidR="005A7A51" w:rsidRPr="00DF4DB0">
        <w:rPr>
          <w:b/>
          <w:lang w:val="vi-VN"/>
        </w:rPr>
        <w:t>Vốn khu vực đầu tư trực tiếp nước ngoài (FDI)</w:t>
      </w:r>
      <w:r w:rsidR="005A7A51" w:rsidRPr="006B5A0F">
        <w:rPr>
          <w:lang w:val="vi-VN"/>
        </w:rPr>
        <w:t xml:space="preserve"> là </w:t>
      </w:r>
      <w:r w:rsidR="00EF1287" w:rsidRPr="006B5A0F">
        <w:rPr>
          <w:lang w:val="vi-VN"/>
        </w:rPr>
        <w:t>200.542</w:t>
      </w:r>
      <w:r w:rsidR="005A7A51" w:rsidRPr="006B5A0F">
        <w:rPr>
          <w:lang w:val="vi-VN"/>
        </w:rPr>
        <w:t xml:space="preserve"> tỷ đồng, chiếm </w:t>
      </w:r>
      <w:r w:rsidR="00EF1287" w:rsidRPr="006B5A0F">
        <w:rPr>
          <w:lang w:val="vi-VN"/>
        </w:rPr>
        <w:t>69,94</w:t>
      </w:r>
      <w:r w:rsidR="005A7A51" w:rsidRPr="006B5A0F">
        <w:rPr>
          <w:lang w:val="vi-VN"/>
        </w:rPr>
        <w:t xml:space="preserve">% tổng vốn đầu tư toàn xã hội. Trong giai đoạn 2011-2015, có </w:t>
      </w:r>
      <w:r w:rsidR="00DC2D1C" w:rsidRPr="00990812">
        <w:rPr>
          <w:lang w:val="vi-VN"/>
        </w:rPr>
        <w:t>64</w:t>
      </w:r>
      <w:r w:rsidR="00DC2D1C" w:rsidRPr="006B5A0F">
        <w:rPr>
          <w:lang w:val="vi-VN"/>
        </w:rPr>
        <w:t xml:space="preserve"> </w:t>
      </w:r>
      <w:r w:rsidR="005A7A51" w:rsidRPr="006B5A0F">
        <w:rPr>
          <w:lang w:val="vi-VN"/>
        </w:rPr>
        <w:t xml:space="preserve">dự án </w:t>
      </w:r>
      <w:r w:rsidR="002F2919" w:rsidRPr="006B5A0F">
        <w:rPr>
          <w:lang w:val="vi-VN"/>
        </w:rPr>
        <w:t xml:space="preserve">đầu tư trực tiếp nước ngoài </w:t>
      </w:r>
      <w:r w:rsidR="005A7A51" w:rsidRPr="006B5A0F">
        <w:rPr>
          <w:lang w:val="vi-VN"/>
        </w:rPr>
        <w:t xml:space="preserve">được cấp giấy chứng nhận đầu tư với tổng vốn đầu tư đăng ký là </w:t>
      </w:r>
      <w:r w:rsidR="002F2919" w:rsidRPr="006B5A0F">
        <w:rPr>
          <w:lang w:val="vi-VN"/>
        </w:rPr>
        <w:t xml:space="preserve">16,5 tỷ </w:t>
      </w:r>
      <w:r w:rsidR="005A7A51" w:rsidRPr="006B5A0F">
        <w:rPr>
          <w:lang w:val="vi-VN"/>
        </w:rPr>
        <w:t xml:space="preserve">USD, </w:t>
      </w:r>
      <w:r w:rsidR="002F2919" w:rsidRPr="006B5A0F">
        <w:rPr>
          <w:lang w:val="vi-VN"/>
        </w:rPr>
        <w:t xml:space="preserve">là tỉnh nằm trong </w:t>
      </w:r>
      <w:r w:rsidR="008C54E3" w:rsidRPr="006B5A0F">
        <w:rPr>
          <w:lang w:val="vi-VN"/>
        </w:rPr>
        <w:t>nhóm</w:t>
      </w:r>
      <w:r w:rsidR="002F2919" w:rsidRPr="006B5A0F">
        <w:rPr>
          <w:lang w:val="vi-VN"/>
        </w:rPr>
        <w:t xml:space="preserve"> các tỉnh dẫn đầu cả nước về thu hút đầu tư nước ngoài</w:t>
      </w:r>
      <w:r w:rsidR="005A7A51" w:rsidRPr="006B5A0F">
        <w:rPr>
          <w:lang w:val="vi-VN"/>
        </w:rPr>
        <w:t xml:space="preserve">. </w:t>
      </w:r>
    </w:p>
    <w:p w:rsidR="003B45A7" w:rsidRPr="006B5A0F" w:rsidRDefault="003B45A7" w:rsidP="00442D9F">
      <w:pPr>
        <w:spacing w:before="120"/>
        <w:ind w:firstLine="720"/>
        <w:jc w:val="both"/>
        <w:rPr>
          <w:lang w:val="vi-VN"/>
        </w:rPr>
      </w:pPr>
      <w:r w:rsidRPr="006B5A0F">
        <w:rPr>
          <w:lang w:val="vi-VN"/>
        </w:rPr>
        <w:t>Giai đoạn 2011-2015, tổng vốn đầu tư toàn xã hội trên địa bàn tăng nhanh</w:t>
      </w:r>
      <w:r w:rsidR="00DC2D1C" w:rsidRPr="00990812">
        <w:rPr>
          <w:lang w:val="vi-VN"/>
        </w:rPr>
        <w:t>,</w:t>
      </w:r>
      <w:r w:rsidRPr="006B5A0F">
        <w:rPr>
          <w:lang w:val="vi-VN"/>
        </w:rPr>
        <w:t xml:space="preserve"> là yếu tố quan trọng, tạo động lực </w:t>
      </w:r>
      <w:r w:rsidR="008C54E3" w:rsidRPr="006B5A0F">
        <w:rPr>
          <w:lang w:val="vi-VN"/>
        </w:rPr>
        <w:t>cho</w:t>
      </w:r>
      <w:r w:rsidR="00D0329E" w:rsidRPr="006B5A0F">
        <w:rPr>
          <w:lang w:val="vi-VN"/>
        </w:rPr>
        <w:t xml:space="preserve"> </w:t>
      </w:r>
      <w:r w:rsidRPr="006B5A0F">
        <w:rPr>
          <w:lang w:val="vi-VN"/>
        </w:rPr>
        <w:t xml:space="preserve">tăng trưởng kinh tế của tỉnh giai đoạn 2011-2015 đạt bình quân </w:t>
      </w:r>
      <w:r w:rsidR="00DC2D1C" w:rsidRPr="00990812">
        <w:rPr>
          <w:lang w:val="vi-VN"/>
        </w:rPr>
        <w:t xml:space="preserve">trên </w:t>
      </w:r>
      <w:r w:rsidRPr="006B5A0F">
        <w:rPr>
          <w:lang w:val="vi-VN"/>
        </w:rPr>
        <w:t>18%/năm</w:t>
      </w:r>
      <w:r w:rsidR="00D0329E" w:rsidRPr="006B5A0F">
        <w:rPr>
          <w:lang w:val="vi-VN"/>
        </w:rPr>
        <w:t>;</w:t>
      </w:r>
      <w:r w:rsidRPr="006B5A0F">
        <w:rPr>
          <w:lang w:val="vi-VN"/>
        </w:rPr>
        <w:t xml:space="preserve"> cơ cấu kinh tế chuyển dịch theo hướng tăng nhanh tỷ trọng công nghiệp, xây dựng và dịch vụ, giảm dần tỷ trọng nông nghiệp; thu ngân sách đạt trên </w:t>
      </w:r>
      <w:r w:rsidR="00DC2D1C" w:rsidRPr="006B5A0F">
        <w:rPr>
          <w:lang w:val="vi-VN"/>
        </w:rPr>
        <w:t>1</w:t>
      </w:r>
      <w:r w:rsidR="00DC2D1C" w:rsidRPr="00990812">
        <w:rPr>
          <w:lang w:val="vi-VN"/>
        </w:rPr>
        <w:t>2</w:t>
      </w:r>
      <w:r w:rsidRPr="006B5A0F">
        <w:rPr>
          <w:lang w:val="vi-VN"/>
        </w:rPr>
        <w:t>.000 tỷ đồng vào năm 2015</w:t>
      </w:r>
      <w:r w:rsidR="0095560B" w:rsidRPr="006B5A0F">
        <w:rPr>
          <w:lang w:val="vi-VN"/>
        </w:rPr>
        <w:t xml:space="preserve">, gấp </w:t>
      </w:r>
      <w:r w:rsidR="00900FB7" w:rsidRPr="00900FB7">
        <w:rPr>
          <w:lang w:val="vi-VN"/>
        </w:rPr>
        <w:t xml:space="preserve">hơn </w:t>
      </w:r>
      <w:r w:rsidR="00DC2D1C" w:rsidRPr="00990812">
        <w:rPr>
          <w:lang w:val="vi-VN"/>
        </w:rPr>
        <w:t>6,06</w:t>
      </w:r>
      <w:r w:rsidR="00DC2D1C" w:rsidRPr="006B5A0F">
        <w:rPr>
          <w:lang w:val="vi-VN"/>
        </w:rPr>
        <w:t xml:space="preserve"> </w:t>
      </w:r>
      <w:r w:rsidR="0095560B" w:rsidRPr="006B5A0F">
        <w:rPr>
          <w:lang w:val="vi-VN"/>
        </w:rPr>
        <w:t xml:space="preserve">lần so với </w:t>
      </w:r>
      <w:r w:rsidRPr="006B5A0F">
        <w:rPr>
          <w:lang w:val="vi-VN"/>
        </w:rPr>
        <w:t>năm 2010; số lượng doanh nghiệp tăng nhanh góp phần tạo thêm nhiều việc làm và tăng thu nhập cho người lao động.</w:t>
      </w:r>
    </w:p>
    <w:p w:rsidR="00A25EA8" w:rsidRDefault="00A25EA8" w:rsidP="00442D9F">
      <w:pPr>
        <w:spacing w:before="120"/>
        <w:ind w:firstLine="720"/>
        <w:jc w:val="both"/>
        <w:rPr>
          <w:b/>
        </w:rPr>
      </w:pPr>
      <w:r w:rsidRPr="005367D8">
        <w:rPr>
          <w:b/>
        </w:rPr>
        <w:t>Cụ thể tình hình triển khai kế hoạch đầu tư phát triển nguồn NSNN và TPCP giai đoạn 2011-2015</w:t>
      </w:r>
      <w:r w:rsidR="00DF0158">
        <w:rPr>
          <w:b/>
        </w:rPr>
        <w:t>:</w:t>
      </w:r>
    </w:p>
    <w:p w:rsidR="007D79C4" w:rsidRPr="00FD3902" w:rsidRDefault="007D79C4" w:rsidP="00442D9F">
      <w:pPr>
        <w:spacing w:before="120"/>
        <w:ind w:firstLine="720"/>
        <w:jc w:val="both"/>
      </w:pPr>
      <w:r>
        <w:t xml:space="preserve">Tổng kế hoạch vốn NSNN và TPCP được giao và bổ sung trong giai đoạn 2011-2015 là </w:t>
      </w:r>
      <w:r w:rsidR="008B3060">
        <w:rPr>
          <w:lang w:val="nl-NL"/>
        </w:rPr>
        <w:t>29</w:t>
      </w:r>
      <w:r w:rsidR="005850D9">
        <w:rPr>
          <w:lang w:val="nl-NL"/>
        </w:rPr>
        <w:t>.</w:t>
      </w:r>
      <w:r w:rsidR="008B3060">
        <w:rPr>
          <w:lang w:val="nl-NL"/>
        </w:rPr>
        <w:t>9</w:t>
      </w:r>
      <w:r w:rsidR="00BA5FCC">
        <w:rPr>
          <w:lang w:val="nl-NL"/>
        </w:rPr>
        <w:t>91</w:t>
      </w:r>
      <w:r w:rsidR="005850D9">
        <w:rPr>
          <w:lang w:val="nl-NL"/>
        </w:rPr>
        <w:t>,</w:t>
      </w:r>
      <w:r w:rsidR="00CA087D">
        <w:rPr>
          <w:lang w:val="nl-NL"/>
        </w:rPr>
        <w:t>192</w:t>
      </w:r>
      <w:r w:rsidR="00A83704" w:rsidRPr="00C26791">
        <w:rPr>
          <w:lang w:val="nl-NL"/>
        </w:rPr>
        <w:t xml:space="preserve"> </w:t>
      </w:r>
      <w:r w:rsidRPr="002E3171">
        <w:rPr>
          <w:lang w:val="nl-NL"/>
        </w:rPr>
        <w:t>tỷ đồng</w:t>
      </w:r>
      <w:r>
        <w:rPr>
          <w:lang w:val="nl-NL"/>
        </w:rPr>
        <w:t xml:space="preserve">, giải ngân là </w:t>
      </w:r>
      <w:r w:rsidR="008B3060">
        <w:rPr>
          <w:lang w:val="nl-NL"/>
        </w:rPr>
        <w:t>29</w:t>
      </w:r>
      <w:r>
        <w:rPr>
          <w:lang w:val="nl-NL"/>
        </w:rPr>
        <w:t>.</w:t>
      </w:r>
      <w:r w:rsidR="00BA5FCC">
        <w:rPr>
          <w:lang w:val="nl-NL"/>
        </w:rPr>
        <w:t>519</w:t>
      </w:r>
      <w:r>
        <w:rPr>
          <w:lang w:val="nl-NL"/>
        </w:rPr>
        <w:t>,</w:t>
      </w:r>
      <w:r w:rsidR="00BA5FCC">
        <w:rPr>
          <w:lang w:val="nl-NL"/>
        </w:rPr>
        <w:t>41</w:t>
      </w:r>
      <w:r w:rsidR="005850D9">
        <w:rPr>
          <w:lang w:val="nl-NL"/>
        </w:rPr>
        <w:t xml:space="preserve"> </w:t>
      </w:r>
      <w:r>
        <w:rPr>
          <w:lang w:val="nl-NL"/>
        </w:rPr>
        <w:t xml:space="preserve">tỷ đồng, bằng </w:t>
      </w:r>
      <w:r w:rsidR="00581D8C">
        <w:rPr>
          <w:lang w:val="nl-NL"/>
        </w:rPr>
        <w:t>9</w:t>
      </w:r>
      <w:r w:rsidR="008B3060">
        <w:rPr>
          <w:lang w:val="nl-NL"/>
        </w:rPr>
        <w:t>8</w:t>
      </w:r>
      <w:r>
        <w:rPr>
          <w:lang w:val="nl-NL"/>
        </w:rPr>
        <w:t>,</w:t>
      </w:r>
      <w:r w:rsidR="008B3060">
        <w:rPr>
          <w:lang w:val="nl-NL"/>
        </w:rPr>
        <w:t>43</w:t>
      </w:r>
      <w:r>
        <w:rPr>
          <w:lang w:val="nl-NL"/>
        </w:rPr>
        <w:t>% kế hoạch, trong đó:</w:t>
      </w:r>
    </w:p>
    <w:p w:rsidR="007D79C4" w:rsidRDefault="007D79C4" w:rsidP="00442D9F">
      <w:pPr>
        <w:spacing w:before="120"/>
        <w:ind w:firstLine="720"/>
        <w:jc w:val="both"/>
      </w:pPr>
      <w:r>
        <w:rPr>
          <w:i/>
        </w:rPr>
        <w:t xml:space="preserve">a. </w:t>
      </w:r>
      <w:r w:rsidRPr="00D74ECD">
        <w:rPr>
          <w:i/>
        </w:rPr>
        <w:t xml:space="preserve">Vốn </w:t>
      </w:r>
      <w:r w:rsidR="004575F1">
        <w:rPr>
          <w:i/>
        </w:rPr>
        <w:t>trong nước</w:t>
      </w:r>
      <w:r w:rsidRPr="00D74ECD">
        <w:rPr>
          <w:i/>
        </w:rPr>
        <w:t xml:space="preserve">: </w:t>
      </w:r>
      <w:r>
        <w:t xml:space="preserve">Tổng kế hoạch vốn được giao là </w:t>
      </w:r>
      <w:r w:rsidR="00243C7F">
        <w:t>25</w:t>
      </w:r>
      <w:r>
        <w:t>.</w:t>
      </w:r>
      <w:r w:rsidR="00243C7F">
        <w:t>457</w:t>
      </w:r>
      <w:r>
        <w:t>,</w:t>
      </w:r>
      <w:r w:rsidR="00243C7F">
        <w:t>3</w:t>
      </w:r>
      <w:r w:rsidR="003D33C3">
        <w:t xml:space="preserve"> </w:t>
      </w:r>
      <w:r>
        <w:t xml:space="preserve">tỷ đồng, giải ngân là </w:t>
      </w:r>
      <w:r w:rsidR="00DD3946">
        <w:t>24.985,518</w:t>
      </w:r>
      <w:r w:rsidR="003D33C3">
        <w:t xml:space="preserve"> </w:t>
      </w:r>
      <w:r>
        <w:t>tỷ đồng, bằng 98,</w:t>
      </w:r>
      <w:r w:rsidR="00364282">
        <w:t>15</w:t>
      </w:r>
      <w:r>
        <w:t>% kế hoạch, trong đó:</w:t>
      </w:r>
    </w:p>
    <w:p w:rsidR="007D79C4" w:rsidRPr="00707139" w:rsidRDefault="007D79C4" w:rsidP="00442D9F">
      <w:pPr>
        <w:spacing w:before="120"/>
        <w:ind w:firstLine="720"/>
        <w:jc w:val="both"/>
      </w:pPr>
      <w:r>
        <w:t>- Vốn ngân sách trung ương: Kế hoạch đã giao là 9.637,026 tỷ đồng, giải ngân là  9.</w:t>
      </w:r>
      <w:r w:rsidR="00086079">
        <w:t>564</w:t>
      </w:r>
      <w:r>
        <w:t>,</w:t>
      </w:r>
      <w:r w:rsidR="00086079">
        <w:t>132</w:t>
      </w:r>
      <w:r w:rsidR="003D33C3">
        <w:t xml:space="preserve"> </w:t>
      </w:r>
      <w:r>
        <w:t>tỷ đồng, bằng 99,</w:t>
      </w:r>
      <w:r w:rsidR="00457AFB">
        <w:t>2</w:t>
      </w:r>
      <w:r>
        <w:t>4% kế hoạch</w:t>
      </w:r>
    </w:p>
    <w:p w:rsidR="007D79C4" w:rsidRPr="00707139" w:rsidRDefault="007D79C4" w:rsidP="00442D9F">
      <w:pPr>
        <w:spacing w:before="120"/>
        <w:ind w:firstLine="720"/>
        <w:jc w:val="both"/>
      </w:pPr>
      <w:r>
        <w:t xml:space="preserve">- Ngân sách địa phương: Kế hoạch đã giao là </w:t>
      </w:r>
      <w:r w:rsidR="007D5FD9">
        <w:t>9.</w:t>
      </w:r>
      <w:r w:rsidR="00F363E0">
        <w:t>606</w:t>
      </w:r>
      <w:r w:rsidR="007D5FD9">
        <w:t>,894</w:t>
      </w:r>
      <w:r>
        <w:t xml:space="preserve"> tỷ đồng, giải ngân là </w:t>
      </w:r>
      <w:r w:rsidR="007D5FD9">
        <w:t>9.3</w:t>
      </w:r>
      <w:r w:rsidR="00F363E0">
        <w:t>32</w:t>
      </w:r>
      <w:r w:rsidR="007D5FD9">
        <w:t>,</w:t>
      </w:r>
      <w:r w:rsidR="00F363E0">
        <w:t>305</w:t>
      </w:r>
      <w:r>
        <w:t xml:space="preserve"> tỷ đồng, bằng </w:t>
      </w:r>
      <w:r w:rsidR="007D5FD9">
        <w:t>97</w:t>
      </w:r>
      <w:r>
        <w:t>,</w:t>
      </w:r>
      <w:r w:rsidR="007D5FD9">
        <w:t>1</w:t>
      </w:r>
      <w:r w:rsidR="00272D30">
        <w:t>4</w:t>
      </w:r>
      <w:r>
        <w:t>% kế hoạch</w:t>
      </w:r>
    </w:p>
    <w:p w:rsidR="007D79C4" w:rsidRDefault="00AB1077" w:rsidP="00442D9F">
      <w:pPr>
        <w:spacing w:before="120"/>
        <w:ind w:firstLine="720"/>
        <w:jc w:val="both"/>
      </w:pPr>
      <w:r w:rsidRPr="00AB1077">
        <w:t>-</w:t>
      </w:r>
      <w:r w:rsidR="007D79C4" w:rsidRPr="00AB1077">
        <w:t xml:space="preserve"> Vốn trái phiếu Chính phủ:</w:t>
      </w:r>
      <w:r w:rsidR="007D79C4">
        <w:rPr>
          <w:i/>
        </w:rPr>
        <w:t xml:space="preserve"> </w:t>
      </w:r>
      <w:r w:rsidR="007D79C4">
        <w:t>Tổng kế hoạch vốn được giao và bổ sung, điều chỉnh là 6.213,380 tỷ đồng, giải ngân là 6.089,080 tỷ đồng, bằng 98% kế hoạch.</w:t>
      </w:r>
    </w:p>
    <w:p w:rsidR="007D79C4" w:rsidRDefault="00AB1077" w:rsidP="00442D9F">
      <w:pPr>
        <w:spacing w:before="120"/>
        <w:ind w:firstLine="720"/>
        <w:jc w:val="both"/>
        <w:rPr>
          <w:lang w:val="nl-NL"/>
        </w:rPr>
      </w:pPr>
      <w:r>
        <w:rPr>
          <w:i/>
        </w:rPr>
        <w:t>b</w:t>
      </w:r>
      <w:r w:rsidR="007D79C4">
        <w:rPr>
          <w:i/>
        </w:rPr>
        <w:t xml:space="preserve">. Vốn nước ngoài (ODA): </w:t>
      </w:r>
      <w:r w:rsidR="007D79C4" w:rsidRPr="00707EDA">
        <w:t xml:space="preserve">Tổng </w:t>
      </w:r>
      <w:r w:rsidR="007D79C4">
        <w:t xml:space="preserve">kế hoạch vốn giao và giải ngân giai đoạn 2011-2015 là </w:t>
      </w:r>
      <w:r w:rsidR="007D79C4" w:rsidRPr="00D70756">
        <w:rPr>
          <w:lang w:val="nl-NL"/>
        </w:rPr>
        <w:t>4.533,892</w:t>
      </w:r>
      <w:r w:rsidR="007D79C4" w:rsidRPr="00C26791">
        <w:rPr>
          <w:lang w:val="nl-NL"/>
        </w:rPr>
        <w:t xml:space="preserve"> tỷ đồng</w:t>
      </w:r>
      <w:r w:rsidR="007D79C4">
        <w:rPr>
          <w:lang w:val="nl-NL"/>
        </w:rPr>
        <w:t>.</w:t>
      </w:r>
    </w:p>
    <w:p w:rsidR="00FA0358" w:rsidRPr="0090311A" w:rsidRDefault="000041AB" w:rsidP="00442D9F">
      <w:pPr>
        <w:spacing w:before="120"/>
        <w:ind w:firstLine="720"/>
        <w:jc w:val="center"/>
        <w:rPr>
          <w:i/>
        </w:rPr>
      </w:pPr>
      <w:r w:rsidRPr="0090311A">
        <w:rPr>
          <w:i/>
        </w:rPr>
        <w:t xml:space="preserve">(Chi tiết </w:t>
      </w:r>
      <w:r w:rsidR="00FC5060" w:rsidRPr="0090311A">
        <w:rPr>
          <w:i/>
        </w:rPr>
        <w:t>theo</w:t>
      </w:r>
      <w:r w:rsidR="00FA0358" w:rsidRPr="0090311A">
        <w:rPr>
          <w:i/>
        </w:rPr>
        <w:t xml:space="preserve"> Phụ lục 01 </w:t>
      </w:r>
      <w:r w:rsidR="00FC5060" w:rsidRPr="0090311A">
        <w:rPr>
          <w:i/>
        </w:rPr>
        <w:t>đính kèm</w:t>
      </w:r>
      <w:r w:rsidR="00FA0358" w:rsidRPr="0090311A">
        <w:rPr>
          <w:i/>
        </w:rPr>
        <w:t>)</w:t>
      </w:r>
      <w:r w:rsidR="00DC63F4" w:rsidRPr="0090311A">
        <w:rPr>
          <w:i/>
        </w:rPr>
        <w:t>.</w:t>
      </w:r>
    </w:p>
    <w:p w:rsidR="00551D32" w:rsidRPr="00B903DD" w:rsidRDefault="00A73332" w:rsidP="00442D9F">
      <w:pPr>
        <w:spacing w:before="120"/>
        <w:ind w:firstLine="720"/>
        <w:jc w:val="both"/>
        <w:rPr>
          <w:b/>
        </w:rPr>
      </w:pPr>
      <w:r w:rsidRPr="006B5A0F">
        <w:rPr>
          <w:b/>
          <w:lang w:val="vi-VN"/>
        </w:rPr>
        <w:t xml:space="preserve">2. </w:t>
      </w:r>
      <w:r w:rsidR="00551D32" w:rsidRPr="006B5A0F">
        <w:rPr>
          <w:b/>
          <w:lang w:val="vi-VN"/>
        </w:rPr>
        <w:t>Kết quả đạt được trên một số lĩnh vực:</w:t>
      </w:r>
      <w:r w:rsidR="00551D32" w:rsidRPr="00B903DD">
        <w:rPr>
          <w:b/>
          <w:color w:val="FF0000"/>
          <w:lang w:val="vi-VN"/>
        </w:rPr>
        <w:t xml:space="preserve"> </w:t>
      </w:r>
    </w:p>
    <w:p w:rsidR="00551D32" w:rsidRPr="00E94599" w:rsidRDefault="00D42E58" w:rsidP="00442D9F">
      <w:pPr>
        <w:spacing w:before="120"/>
        <w:ind w:firstLine="720"/>
        <w:jc w:val="both"/>
        <w:rPr>
          <w:bCs/>
          <w:i/>
          <w:lang w:val="vi-VN"/>
        </w:rPr>
      </w:pPr>
      <w:r w:rsidRPr="00D70756">
        <w:rPr>
          <w:bCs/>
          <w:i/>
          <w:lang w:val="vi-VN"/>
        </w:rPr>
        <w:t>2.1</w:t>
      </w:r>
      <w:r w:rsidR="00551D32" w:rsidRPr="00E94599">
        <w:rPr>
          <w:bCs/>
          <w:i/>
          <w:lang w:val="vi-VN"/>
        </w:rPr>
        <w:t>. Về hạ tầng giao thông:</w:t>
      </w:r>
    </w:p>
    <w:p w:rsidR="00551D32" w:rsidRPr="00E94599" w:rsidRDefault="00551D32" w:rsidP="00442D9F">
      <w:pPr>
        <w:spacing w:before="120"/>
        <w:ind w:firstLine="720"/>
        <w:jc w:val="both"/>
        <w:rPr>
          <w:lang w:val="vi-VN"/>
        </w:rPr>
      </w:pPr>
      <w:r w:rsidRPr="00E94599">
        <w:rPr>
          <w:b/>
          <w:bCs/>
          <w:i/>
          <w:lang w:val="vi-VN"/>
        </w:rPr>
        <w:t xml:space="preserve">- </w:t>
      </w:r>
      <w:r w:rsidRPr="00E94599">
        <w:rPr>
          <w:lang w:val="vi-VN"/>
        </w:rPr>
        <w:t xml:space="preserve">Việc đầu tư, nâng cấp hoàn thiện đồng bộ hệ thống kết cấu hạ tầng kỹ thuật, đặc biệt là hạ tầng giao thông được </w:t>
      </w:r>
      <w:r w:rsidRPr="007F4104">
        <w:rPr>
          <w:lang w:val="vi-VN"/>
        </w:rPr>
        <w:t xml:space="preserve">quan tâm, ưu tiên đầu tư, đáp ứng yêu cầu phát triển kinh tế - xã hội trên địa bàn, nhất là các vùng kinh tế trọng điểm </w:t>
      </w:r>
      <w:r w:rsidRPr="007F4104">
        <w:rPr>
          <w:lang w:val="vi-VN"/>
        </w:rPr>
        <w:lastRenderedPageBreak/>
        <w:t xml:space="preserve">và Khu kinh tế Vũng Áng. Hệ thống các tuyến đường quốc lộ và tuyến </w:t>
      </w:r>
      <w:r w:rsidRPr="00E94599">
        <w:rPr>
          <w:lang w:val="vi-VN"/>
        </w:rPr>
        <w:t xml:space="preserve">giao thông trọng điểm được </w:t>
      </w:r>
      <w:r w:rsidRPr="007F4104">
        <w:rPr>
          <w:lang w:val="vi-VN"/>
        </w:rPr>
        <w:t xml:space="preserve">tập trung huy động nguồn lực để đẩy nhanh tiến độ thi công, </w:t>
      </w:r>
      <w:r w:rsidRPr="00E94599">
        <w:rPr>
          <w:lang w:val="vi-VN"/>
        </w:rPr>
        <w:t>hoàn thành đưa vào sử dụng như Quốc lộ 1, Quốc lộ 8, Quốc lộ 15, đường ven biển Thạch Khê - Vũng Áng,</w:t>
      </w:r>
      <w:r w:rsidR="00D0329E">
        <w:rPr>
          <w:lang w:val="vi-VN"/>
        </w:rPr>
        <w:t>…</w:t>
      </w:r>
      <w:r w:rsidR="00D0329E" w:rsidRPr="00D0329E">
        <w:rPr>
          <w:lang w:val="vi-VN"/>
        </w:rPr>
        <w:t xml:space="preserve"> </w:t>
      </w:r>
      <w:r w:rsidRPr="007F4104">
        <w:rPr>
          <w:lang w:val="vi-VN"/>
        </w:rPr>
        <w:t xml:space="preserve">đặc biệt hệ thống cảng biển Sơn Dương Formosa với quy mô đầu tư 11 cầu cảng phục vụ cho tàu 20 vạn tấn. Hiện </w:t>
      </w:r>
      <w:r w:rsidR="00D0329E" w:rsidRPr="00814FF0">
        <w:rPr>
          <w:lang w:val="vi-VN"/>
        </w:rPr>
        <w:t>nay</w:t>
      </w:r>
      <w:r w:rsidR="004C74C8" w:rsidRPr="00814FF0">
        <w:rPr>
          <w:lang w:val="vi-VN"/>
        </w:rPr>
        <w:t>,</w:t>
      </w:r>
      <w:r w:rsidRPr="00814FF0">
        <w:rPr>
          <w:lang w:val="vi-VN"/>
        </w:rPr>
        <w:t xml:space="preserve"> đã có </w:t>
      </w:r>
      <w:r w:rsidR="007A29B3">
        <w:t>10</w:t>
      </w:r>
      <w:r w:rsidR="007A29B3" w:rsidRPr="00814FF0">
        <w:rPr>
          <w:lang w:val="vi-VN"/>
        </w:rPr>
        <w:t xml:space="preserve"> </w:t>
      </w:r>
      <w:r w:rsidRPr="00814FF0">
        <w:rPr>
          <w:lang w:val="vi-VN"/>
        </w:rPr>
        <w:t>cầu</w:t>
      </w:r>
      <w:r w:rsidRPr="007F4104">
        <w:rPr>
          <w:lang w:val="vi-VN"/>
        </w:rPr>
        <w:t xml:space="preserve"> cảng hoàn thành và đi vào hoạt động, giảm áp lực quá tải cho cảng Vũng Áng, nhất là đáp ứng nhu cầu cho việc vận chuyển trang thiết bị phục vụ Dự án khu liên hợp gang thép và cảng Sơn Dương của Tập đoàn Formosa. Hạ tầng giao thông đô thị cũng đã được quan tâm đầu tư xây dựng, cải thiện cả chất lượng và số lượng.</w:t>
      </w:r>
    </w:p>
    <w:p w:rsidR="00551D32" w:rsidRPr="007F4104" w:rsidRDefault="00551D32" w:rsidP="00442D9F">
      <w:pPr>
        <w:spacing w:before="120"/>
        <w:ind w:firstLine="720"/>
        <w:jc w:val="both"/>
        <w:rPr>
          <w:lang w:val="vi-VN"/>
        </w:rPr>
      </w:pPr>
      <w:r w:rsidRPr="00E94599">
        <w:rPr>
          <w:lang w:val="vi-VN"/>
        </w:rPr>
        <w:t xml:space="preserve">- Các dự án đầu tư từ </w:t>
      </w:r>
      <w:r w:rsidR="00D0329E">
        <w:rPr>
          <w:lang w:val="vi-VN"/>
        </w:rPr>
        <w:t xml:space="preserve">nguồn vốn ODA gồm ADB5, WB3 và </w:t>
      </w:r>
      <w:r w:rsidR="00D0329E" w:rsidRPr="00D0329E">
        <w:rPr>
          <w:lang w:val="vi-VN"/>
        </w:rPr>
        <w:t>d</w:t>
      </w:r>
      <w:r w:rsidRPr="00E94599">
        <w:rPr>
          <w:lang w:val="vi-VN"/>
        </w:rPr>
        <w:t xml:space="preserve">ự án đường </w:t>
      </w:r>
      <w:r w:rsidR="00D0329E" w:rsidRPr="00D0329E">
        <w:rPr>
          <w:lang w:val="vi-VN"/>
        </w:rPr>
        <w:t>giao thông</w:t>
      </w:r>
      <w:r w:rsidRPr="00E94599">
        <w:rPr>
          <w:lang w:val="vi-VN"/>
        </w:rPr>
        <w:t xml:space="preserve"> đến trung tâm xã phát huy hiệu quả; phong trào toàn dân tham gia làm đường giao thông nông thôn được triển khai tích cực</w:t>
      </w:r>
      <w:r w:rsidRPr="007F4104">
        <w:rPr>
          <w:lang w:val="vi-VN"/>
        </w:rPr>
        <w:t>.</w:t>
      </w:r>
      <w:r w:rsidRPr="00E94599">
        <w:rPr>
          <w:lang w:val="vi-VN"/>
        </w:rPr>
        <w:t xml:space="preserve"> </w:t>
      </w:r>
      <w:r w:rsidRPr="007F4104">
        <w:rPr>
          <w:lang w:val="vi-VN"/>
        </w:rPr>
        <w:t>Trong 5 năm qua đã xây dựng</w:t>
      </w:r>
      <w:r w:rsidRPr="006B10EA">
        <w:rPr>
          <w:lang w:val="vi-VN"/>
        </w:rPr>
        <w:t xml:space="preserve"> được </w:t>
      </w:r>
      <w:r w:rsidR="00E7055F" w:rsidRPr="00D70756">
        <w:rPr>
          <w:lang w:val="vi-VN"/>
        </w:rPr>
        <w:t xml:space="preserve">trên </w:t>
      </w:r>
      <w:r w:rsidR="00E7055F" w:rsidRPr="00D70756">
        <w:rPr>
          <w:spacing w:val="-2"/>
          <w:lang w:val="vi-VN"/>
        </w:rPr>
        <w:t>8</w:t>
      </w:r>
      <w:r w:rsidRPr="00E94599">
        <w:rPr>
          <w:spacing w:val="-2"/>
          <w:lang w:val="vi-VN"/>
        </w:rPr>
        <w:t>.</w:t>
      </w:r>
      <w:r w:rsidR="00E7055F" w:rsidRPr="00D70756">
        <w:rPr>
          <w:spacing w:val="-2"/>
          <w:lang w:val="vi-VN"/>
        </w:rPr>
        <w:t>000</w:t>
      </w:r>
      <w:r w:rsidR="00E7055F" w:rsidRPr="007F4104">
        <w:rPr>
          <w:lang w:val="vi-VN"/>
        </w:rPr>
        <w:t xml:space="preserve"> </w:t>
      </w:r>
      <w:r w:rsidRPr="006B10EA">
        <w:rPr>
          <w:lang w:val="vi-VN"/>
        </w:rPr>
        <w:t xml:space="preserve">km đường </w:t>
      </w:r>
      <w:r w:rsidRPr="007F4104">
        <w:rPr>
          <w:lang w:val="vi-VN"/>
        </w:rPr>
        <w:t xml:space="preserve">bê tông xi măng, </w:t>
      </w:r>
      <w:r w:rsidRPr="006B10EA">
        <w:rPr>
          <w:lang w:val="vi-VN"/>
        </w:rPr>
        <w:t>đường nhựa</w:t>
      </w:r>
      <w:r w:rsidR="008E015A" w:rsidRPr="00C37FDD">
        <w:rPr>
          <w:lang w:val="vi-VN"/>
        </w:rPr>
        <w:t>;</w:t>
      </w:r>
      <w:r w:rsidRPr="007F4104">
        <w:rPr>
          <w:lang w:val="vi-VN"/>
        </w:rPr>
        <w:t xml:space="preserve"> là một trong những tỉnh dẫn đầu cả nước về xây dựng phong trào giao thông nông thôn. </w:t>
      </w:r>
      <w:r w:rsidR="00D0329E" w:rsidRPr="00D0329E">
        <w:rPr>
          <w:lang w:val="vi-VN"/>
        </w:rPr>
        <w:t>M</w:t>
      </w:r>
      <w:r w:rsidRPr="007F4104">
        <w:rPr>
          <w:lang w:val="vi-VN"/>
        </w:rPr>
        <w:t>ạng lưới giao thông nông thôn đã có sự chuyển biến cơ bản về chất, nhiều tuyến đường được nhựa hóa, bê tông hóa, tỷ lệ đường đất giảm dần, góp phần làm tha</w:t>
      </w:r>
      <w:r w:rsidR="00D0329E">
        <w:rPr>
          <w:lang w:val="vi-VN"/>
        </w:rPr>
        <w:t>y đổi diện mạo của địa phương,</w:t>
      </w:r>
      <w:r w:rsidRPr="007F4104">
        <w:rPr>
          <w:lang w:val="vi-VN"/>
        </w:rPr>
        <w:t xml:space="preserve"> giảm khoảng cách giữa nông thôn với thành thị.</w:t>
      </w:r>
    </w:p>
    <w:p w:rsidR="00551D32" w:rsidRPr="00E94599" w:rsidRDefault="009F1333" w:rsidP="00442D9F">
      <w:pPr>
        <w:spacing w:before="120"/>
        <w:ind w:firstLine="720"/>
        <w:jc w:val="both"/>
        <w:rPr>
          <w:bCs/>
          <w:i/>
          <w:lang w:val="pt-BR"/>
        </w:rPr>
      </w:pPr>
      <w:r>
        <w:rPr>
          <w:bCs/>
          <w:i/>
          <w:lang w:val="pt-BR"/>
        </w:rPr>
        <w:t>2.2</w:t>
      </w:r>
      <w:r w:rsidR="00551D32" w:rsidRPr="00E94599">
        <w:rPr>
          <w:bCs/>
          <w:i/>
          <w:lang w:val="vi-VN"/>
        </w:rPr>
        <w:t>. Về hạ tầng đô thị</w:t>
      </w:r>
      <w:r w:rsidR="00551D32" w:rsidRPr="00E94599">
        <w:rPr>
          <w:bCs/>
          <w:i/>
          <w:lang w:val="pt-BR"/>
        </w:rPr>
        <w:t xml:space="preserve"> </w:t>
      </w:r>
    </w:p>
    <w:p w:rsidR="00551D32" w:rsidRPr="006346CB" w:rsidRDefault="00551D32" w:rsidP="00442D9F">
      <w:pPr>
        <w:spacing w:before="120"/>
        <w:ind w:firstLine="720"/>
        <w:jc w:val="both"/>
        <w:rPr>
          <w:lang w:val="pt-BR"/>
        </w:rPr>
      </w:pPr>
      <w:r w:rsidRPr="00E94599">
        <w:rPr>
          <w:b/>
          <w:bCs/>
          <w:i/>
          <w:lang w:val="pt-BR"/>
        </w:rPr>
        <w:t xml:space="preserve">- </w:t>
      </w:r>
      <w:r w:rsidRPr="00E94599">
        <w:rPr>
          <w:lang w:val="vi-VN"/>
        </w:rPr>
        <w:t xml:space="preserve">Tổ chức thực hiện tốt quy hoạch và kiến trúc đô thị, nâng cao chất lượng </w:t>
      </w:r>
      <w:r w:rsidRPr="006346CB">
        <w:rPr>
          <w:lang w:val="vi-VN"/>
        </w:rPr>
        <w:t>hiệu quả công tác quy hoạch, quản lý quy hoạch - kiến trúc, quản lý đô thị</w:t>
      </w:r>
      <w:r w:rsidRPr="006346CB">
        <w:rPr>
          <w:lang w:val="pt-BR"/>
        </w:rPr>
        <w:t xml:space="preserve">, đến nay đã </w:t>
      </w:r>
      <w:r w:rsidRPr="006346CB">
        <w:rPr>
          <w:lang w:val="vi-VN"/>
        </w:rPr>
        <w:t>lập và phê duyệt xong quy hoạch chung xây dựng cho 1</w:t>
      </w:r>
      <w:r w:rsidRPr="006346CB">
        <w:rPr>
          <w:lang w:val="pt-BR"/>
        </w:rPr>
        <w:t>5</w:t>
      </w:r>
      <w:r w:rsidRPr="006346CB">
        <w:rPr>
          <w:lang w:val="vi-VN"/>
        </w:rPr>
        <w:t xml:space="preserve"> đô thị, tỷ lệ phủ kín quy hoạch phân khu đạt 40%, quy hoạch chi tiết đạt khoảng 10%</w:t>
      </w:r>
      <w:r w:rsidRPr="006346CB">
        <w:rPr>
          <w:lang w:val="pt-BR"/>
        </w:rPr>
        <w:t xml:space="preserve">. Tỷ lệ đô thị hóa đến nay đạt </w:t>
      </w:r>
      <w:r w:rsidR="00AF449E" w:rsidRPr="006346CB">
        <w:rPr>
          <w:lang w:val="pt-BR"/>
        </w:rPr>
        <w:t>25</w:t>
      </w:r>
      <w:r w:rsidRPr="006346CB">
        <w:rPr>
          <w:lang w:val="pt-BR"/>
        </w:rPr>
        <w:t>%.</w:t>
      </w:r>
    </w:p>
    <w:p w:rsidR="00551D32" w:rsidRPr="006346CB" w:rsidRDefault="00551D32" w:rsidP="00442D9F">
      <w:pPr>
        <w:spacing w:before="120"/>
        <w:ind w:firstLine="720"/>
        <w:jc w:val="both"/>
        <w:rPr>
          <w:lang w:val="pt-BR"/>
        </w:rPr>
      </w:pPr>
      <w:r w:rsidRPr="006346CB">
        <w:rPr>
          <w:lang w:val="pt-BR"/>
        </w:rPr>
        <w:t xml:space="preserve">- Nâng cấp </w:t>
      </w:r>
      <w:r w:rsidRPr="006346CB">
        <w:rPr>
          <w:lang w:val="vi-VN"/>
        </w:rPr>
        <w:t>mở rộng mạng lưới cấp nước thành phố Hà Tĩnh và vùng phụ cận, tỷ lệ người dân đô thị sử dụng nước sạch đạt 65,8%</w:t>
      </w:r>
      <w:r w:rsidRPr="006346CB">
        <w:rPr>
          <w:lang w:val="pt-BR"/>
        </w:rPr>
        <w:t>.</w:t>
      </w:r>
    </w:p>
    <w:p w:rsidR="00551D32" w:rsidRPr="006346CB" w:rsidRDefault="00551D32" w:rsidP="00442D9F">
      <w:pPr>
        <w:spacing w:before="120"/>
        <w:ind w:firstLine="720"/>
        <w:jc w:val="both"/>
        <w:rPr>
          <w:lang w:val="vi-VN"/>
        </w:rPr>
      </w:pPr>
      <w:r w:rsidRPr="006346CB">
        <w:rPr>
          <w:lang w:val="pt-BR"/>
        </w:rPr>
        <w:t>- Đầu tư xây dựng 08 dự án</w:t>
      </w:r>
      <w:r w:rsidRPr="006346CB">
        <w:rPr>
          <w:lang w:val="vi-VN"/>
        </w:rPr>
        <w:t xml:space="preserve"> xử lý chất thải rắn trên địa bàn toàn tỉnh; tỷ lệ thu gom chất thải rắn sinh hoạt ở đô thị đạt 90,1%, vùng nông thôn đạt 37,6%. </w:t>
      </w:r>
    </w:p>
    <w:p w:rsidR="00551D32" w:rsidRPr="007F4104" w:rsidRDefault="00AF449E" w:rsidP="00442D9F">
      <w:pPr>
        <w:spacing w:before="120"/>
        <w:ind w:firstLine="720"/>
        <w:jc w:val="both"/>
        <w:rPr>
          <w:bCs/>
          <w:i/>
          <w:lang w:val="vi-VN"/>
        </w:rPr>
      </w:pPr>
      <w:r w:rsidRPr="00797EB0">
        <w:rPr>
          <w:bCs/>
          <w:i/>
          <w:lang w:val="vi-VN"/>
        </w:rPr>
        <w:t>2.3</w:t>
      </w:r>
      <w:r w:rsidR="00551D32" w:rsidRPr="00E94599">
        <w:rPr>
          <w:bCs/>
          <w:i/>
          <w:lang w:val="vi-VN"/>
        </w:rPr>
        <w:t xml:space="preserve">. Về hạ tầng </w:t>
      </w:r>
      <w:r w:rsidR="00551D32" w:rsidRPr="007F4104">
        <w:rPr>
          <w:bCs/>
          <w:i/>
          <w:lang w:val="vi-VN"/>
        </w:rPr>
        <w:t xml:space="preserve">cung cấp </w:t>
      </w:r>
      <w:r w:rsidR="00551D32" w:rsidRPr="00E94599">
        <w:rPr>
          <w:bCs/>
          <w:i/>
          <w:lang w:val="vi-VN"/>
        </w:rPr>
        <w:t>điện</w:t>
      </w:r>
    </w:p>
    <w:p w:rsidR="00551D32" w:rsidRPr="00C92734" w:rsidRDefault="00551D32" w:rsidP="00442D9F">
      <w:pPr>
        <w:spacing w:before="120"/>
        <w:ind w:firstLine="720"/>
        <w:jc w:val="both"/>
        <w:rPr>
          <w:color w:val="FF0000"/>
          <w:lang w:val="nl-NL"/>
        </w:rPr>
      </w:pPr>
      <w:r w:rsidRPr="00EC5E1E">
        <w:rPr>
          <w:lang w:val="pt-BR"/>
        </w:rPr>
        <w:t xml:space="preserve">Các dự án thuộc Trung tâm nhiệt điện Vũng Áng được đầu tư theo lộ trình Quy hoạch điện 7, góp phần quan trọng tăng thêm năng lực cho hệ thống năng </w:t>
      </w:r>
      <w:r w:rsidRPr="006346CB">
        <w:rPr>
          <w:lang w:val="pt-BR"/>
        </w:rPr>
        <w:t>lượng quốc gia, đảm bảo an ninh năng lượng như: Nhà máy nhiệt điện Vũng Áng I</w:t>
      </w:r>
      <w:r w:rsidR="002C26C7" w:rsidRPr="006346CB">
        <w:rPr>
          <w:lang w:val="pt-BR"/>
        </w:rPr>
        <w:t>,</w:t>
      </w:r>
      <w:r w:rsidRPr="006346CB">
        <w:rPr>
          <w:lang w:val="pt-BR"/>
        </w:rPr>
        <w:t xml:space="preserve"> công suất 1.200MW đã hoàn thành hòa điện lưới quốc gia </w:t>
      </w:r>
      <w:r w:rsidR="00062B68" w:rsidRPr="006346CB">
        <w:rPr>
          <w:lang w:val="pt-BR"/>
        </w:rPr>
        <w:t>cả 2</w:t>
      </w:r>
      <w:r w:rsidRPr="006346CB">
        <w:rPr>
          <w:lang w:val="pt-BR"/>
        </w:rPr>
        <w:t xml:space="preserve"> tổ máy </w:t>
      </w:r>
      <w:r w:rsidR="0012404D" w:rsidRPr="006346CB">
        <w:rPr>
          <w:lang w:val="pt-BR"/>
        </w:rPr>
        <w:t xml:space="preserve">với </w:t>
      </w:r>
      <w:r w:rsidR="0012404D" w:rsidRPr="006346CB">
        <w:rPr>
          <w:lang w:val="sq-AL"/>
        </w:rPr>
        <w:t>sản lượng điện sản xuất đạt 2.172 triệu kwh</w:t>
      </w:r>
      <w:r w:rsidRPr="006346CB">
        <w:rPr>
          <w:lang w:val="pt-BR"/>
        </w:rPr>
        <w:t xml:space="preserve">; </w:t>
      </w:r>
      <w:r w:rsidR="008C0E1A" w:rsidRPr="006346CB">
        <w:rPr>
          <w:lang w:val="pt-BR"/>
        </w:rPr>
        <w:t>N</w:t>
      </w:r>
      <w:r w:rsidRPr="006346CB">
        <w:rPr>
          <w:lang w:val="pt-BR"/>
        </w:rPr>
        <w:t>hà máy nhiệt điện của Tập đoàn Formosa giai đoạn 1 với 5 tổ máy</w:t>
      </w:r>
      <w:r w:rsidR="002C26C7" w:rsidRPr="006346CB">
        <w:rPr>
          <w:lang w:val="pt-BR"/>
        </w:rPr>
        <w:t>, công suất</w:t>
      </w:r>
      <w:r w:rsidRPr="006346CB">
        <w:rPr>
          <w:lang w:val="pt-BR"/>
        </w:rPr>
        <w:t xml:space="preserve"> 650MW đang được tập trung đẩy nhanh tiến độ</w:t>
      </w:r>
      <w:r w:rsidRPr="006346CB">
        <w:rPr>
          <w:lang w:val="vi-VN"/>
        </w:rPr>
        <w:t>, hiện tại đã hoàn thành tổ máy nhiệt điện số 01</w:t>
      </w:r>
      <w:r w:rsidR="004C74C8" w:rsidRPr="006346CB">
        <w:rPr>
          <w:lang w:val="vi-VN"/>
        </w:rPr>
        <w:t>, số 02</w:t>
      </w:r>
      <w:r w:rsidRPr="006346CB">
        <w:rPr>
          <w:lang w:val="vi-VN"/>
        </w:rPr>
        <w:t xml:space="preserve"> công suất </w:t>
      </w:r>
      <w:r w:rsidR="004C74C8" w:rsidRPr="006346CB">
        <w:rPr>
          <w:lang w:val="vi-VN"/>
        </w:rPr>
        <w:t xml:space="preserve">300MW </w:t>
      </w:r>
      <w:r w:rsidR="00062B68" w:rsidRPr="006346CB">
        <w:rPr>
          <w:lang w:val="vi-VN"/>
        </w:rPr>
        <w:t>và đang triển khai các tổ máy tiếp theo</w:t>
      </w:r>
      <w:r w:rsidRPr="006346CB">
        <w:rPr>
          <w:lang w:val="vi-VN"/>
        </w:rPr>
        <w:t xml:space="preserve">; </w:t>
      </w:r>
      <w:r w:rsidR="009348FF" w:rsidRPr="006346CB">
        <w:rPr>
          <w:lang w:val="sq-AL"/>
        </w:rPr>
        <w:t>Nhà máy Nhiệt điện Vũng Áng 2 công suất 1.200MW, tổng mức đầu tư 2,45 tỷ USD, do liên doanh Tập đoàn</w:t>
      </w:r>
      <w:r w:rsidR="009348FF" w:rsidRPr="00AD2E16">
        <w:rPr>
          <w:color w:val="000000"/>
          <w:lang w:val="sq-AL"/>
        </w:rPr>
        <w:t xml:space="preserve"> Mitsubishi và Công ty Oneenergy Asia (Hồng Kông) làm chủ đầu tư, hiện đang đàm phán </w:t>
      </w:r>
      <w:r w:rsidR="009348FF">
        <w:rPr>
          <w:color w:val="000000"/>
          <w:lang w:val="sq-AL"/>
        </w:rPr>
        <w:t>hợp đồng dự án BOT với Bộ Công T</w:t>
      </w:r>
      <w:r w:rsidR="009348FF" w:rsidRPr="00AD2E16">
        <w:rPr>
          <w:color w:val="000000"/>
          <w:lang w:val="sq-AL"/>
        </w:rPr>
        <w:t>hương và hoàn thiện các thủ tục đề nghị Bộ Kế hoạch và Đầu tư cấp Giấy chứng nhận đầu tư</w:t>
      </w:r>
      <w:r w:rsidR="009348FF">
        <w:rPr>
          <w:color w:val="000000"/>
          <w:lang w:val="sq-AL"/>
        </w:rPr>
        <w:t xml:space="preserve"> đ</w:t>
      </w:r>
      <w:r w:rsidR="009348FF" w:rsidRPr="009F05F4">
        <w:rPr>
          <w:color w:val="000000"/>
          <w:lang w:val="sq-AL"/>
        </w:rPr>
        <w:t>ể</w:t>
      </w:r>
      <w:r w:rsidR="009348FF">
        <w:rPr>
          <w:color w:val="000000"/>
          <w:lang w:val="sq-AL"/>
        </w:rPr>
        <w:t xml:space="preserve"> ti</w:t>
      </w:r>
      <w:r w:rsidR="009348FF" w:rsidRPr="0004095A">
        <w:rPr>
          <w:color w:val="000000"/>
          <w:lang w:val="sq-AL"/>
        </w:rPr>
        <w:t>ến</w:t>
      </w:r>
      <w:r w:rsidR="009348FF">
        <w:rPr>
          <w:color w:val="000000"/>
          <w:lang w:val="sq-AL"/>
        </w:rPr>
        <w:t xml:space="preserve"> h</w:t>
      </w:r>
      <w:r w:rsidR="009348FF" w:rsidRPr="0004095A">
        <w:rPr>
          <w:color w:val="000000"/>
          <w:lang w:val="sq-AL"/>
        </w:rPr>
        <w:t>ành</w:t>
      </w:r>
      <w:r w:rsidR="009348FF">
        <w:rPr>
          <w:color w:val="000000"/>
          <w:lang w:val="sq-AL"/>
        </w:rPr>
        <w:t xml:space="preserve"> </w:t>
      </w:r>
      <w:r w:rsidR="009348FF">
        <w:rPr>
          <w:color w:val="000000"/>
          <w:lang w:val="sq-AL"/>
        </w:rPr>
        <w:lastRenderedPageBreak/>
        <w:t>kh</w:t>
      </w:r>
      <w:r w:rsidR="009348FF" w:rsidRPr="0004095A">
        <w:rPr>
          <w:color w:val="000000"/>
          <w:lang w:val="sq-AL"/>
        </w:rPr>
        <w:t>ởi</w:t>
      </w:r>
      <w:r w:rsidR="009348FF">
        <w:rPr>
          <w:color w:val="000000"/>
          <w:lang w:val="sq-AL"/>
        </w:rPr>
        <w:t xml:space="preserve"> c</w:t>
      </w:r>
      <w:r w:rsidR="009348FF" w:rsidRPr="0004095A">
        <w:rPr>
          <w:color w:val="000000"/>
          <w:lang w:val="sq-AL"/>
        </w:rPr>
        <w:t>ô</w:t>
      </w:r>
      <w:r w:rsidR="009348FF">
        <w:rPr>
          <w:color w:val="000000"/>
          <w:lang w:val="sq-AL"/>
        </w:rPr>
        <w:t>ng</w:t>
      </w:r>
      <w:r w:rsidRPr="00C92734">
        <w:rPr>
          <w:color w:val="FF0000"/>
          <w:lang w:val="vi-VN"/>
        </w:rPr>
        <w:t xml:space="preserve">; </w:t>
      </w:r>
      <w:r w:rsidR="009348FF" w:rsidRPr="00AD2E16">
        <w:rPr>
          <w:color w:val="000000"/>
          <w:lang w:val="sq-AL"/>
        </w:rPr>
        <w:t>Nhà máy Nhiệt điện Vũng Áng 3.1 và 3.2</w:t>
      </w:r>
      <w:r w:rsidR="009348FF">
        <w:rPr>
          <w:color w:val="000000"/>
          <w:lang w:val="sq-AL"/>
        </w:rPr>
        <w:t>, công suất 2.400MW</w:t>
      </w:r>
      <w:r w:rsidR="009348FF" w:rsidRPr="00AD2E16">
        <w:rPr>
          <w:color w:val="000000"/>
          <w:lang w:val="sq-AL"/>
        </w:rPr>
        <w:t>: Đã được Chính phủ chấp thuận cho Tập đoàn Samsung C&amp;T làm Chủ đầu tư theo hình thức BOT. Nhà đầu tư đã k</w:t>
      </w:r>
      <w:r w:rsidR="009348FF">
        <w:rPr>
          <w:color w:val="000000"/>
          <w:lang w:val="sq-AL"/>
        </w:rPr>
        <w:t>ý biên bản ghi nhớ với Bộ Công T</w:t>
      </w:r>
      <w:r w:rsidR="009348FF" w:rsidRPr="00AD2E16">
        <w:rPr>
          <w:color w:val="000000"/>
          <w:lang w:val="sq-AL"/>
        </w:rPr>
        <w:t>hương để tiến hành thủ tục đàm phán hợp đồng</w:t>
      </w:r>
      <w:r w:rsidRPr="00C92734">
        <w:rPr>
          <w:color w:val="FF0000"/>
          <w:lang w:val="nl-NL"/>
        </w:rPr>
        <w:t>.</w:t>
      </w:r>
    </w:p>
    <w:p w:rsidR="00551D32" w:rsidRPr="00596276" w:rsidRDefault="00551D32" w:rsidP="00442D9F">
      <w:pPr>
        <w:spacing w:before="120"/>
        <w:ind w:firstLine="720"/>
        <w:jc w:val="both"/>
        <w:rPr>
          <w:lang w:val="pt-BR"/>
        </w:rPr>
      </w:pPr>
      <w:r w:rsidRPr="00EC5E1E">
        <w:rPr>
          <w:lang w:val="pt-BR"/>
        </w:rPr>
        <w:t>Hệ thống lưới điện nông thôn được quan tâm đầu tư</w:t>
      </w:r>
      <w:r w:rsidRPr="00E94599">
        <w:rPr>
          <w:lang w:val="vi-VN"/>
        </w:rPr>
        <w:t>, cải tạo, nâng cấp đáp ứng nhu cầu điện cho sản xuất và sinh hoạt,</w:t>
      </w:r>
      <w:r w:rsidRPr="00EC5E1E">
        <w:rPr>
          <w:lang w:val="pt-BR"/>
        </w:rPr>
        <w:t xml:space="preserve"> là tỉnh nằm trong tốp cao nhất toàn quốc. Tính đến nay, tổng nguồn vốn đầu tư cho lưới điện hạ áp nông thôn của </w:t>
      </w:r>
      <w:r w:rsidRPr="00E66230">
        <w:rPr>
          <w:lang w:val="pt-BR"/>
        </w:rPr>
        <w:t xml:space="preserve">tỉnh đạt trên 1.639 tỷ đồng, </w:t>
      </w:r>
      <w:r w:rsidRPr="00E66230">
        <w:rPr>
          <w:lang w:val="vi-VN"/>
        </w:rPr>
        <w:t xml:space="preserve">có 136 xã </w:t>
      </w:r>
      <w:r w:rsidRPr="00E66230">
        <w:rPr>
          <w:lang w:val="sq-AL"/>
        </w:rPr>
        <w:t>được đầu tư từ dự án Năng lượng nông thôn II và dự án vay vốn WB</w:t>
      </w:r>
      <w:r w:rsidRPr="00E66230">
        <w:rPr>
          <w:lang w:val="pt-BR"/>
        </w:rPr>
        <w:t>. Điển</w:t>
      </w:r>
      <w:r w:rsidRPr="00EC5E1E">
        <w:rPr>
          <w:lang w:val="pt-BR"/>
        </w:rPr>
        <w:t xml:space="preserve"> hình là các dự án xây dựng trạm biến áp 110 kV ở các huyện Hương Sơn, Hương Khê, thị xã Hồng Lĩnh; xóa các trạm biến áp trung gian 35/10/6.3 kV, nâng cấp lưới điện 10 kV lên vận hành cấp điện áp 22</w:t>
      </w:r>
      <w:r w:rsidR="00BA51CB">
        <w:rPr>
          <w:lang w:val="pt-BR"/>
        </w:rPr>
        <w:t xml:space="preserve"> k</w:t>
      </w:r>
      <w:r w:rsidRPr="00EC5E1E">
        <w:rPr>
          <w:lang w:val="pt-BR"/>
        </w:rPr>
        <w:t xml:space="preserve">V, 35 kV. </w:t>
      </w:r>
      <w:r w:rsidR="00D0329E" w:rsidRPr="00D0329E">
        <w:rPr>
          <w:lang w:val="pt-BR"/>
        </w:rPr>
        <w:t>Đã</w:t>
      </w:r>
      <w:r w:rsidR="00D0329E">
        <w:rPr>
          <w:lang w:val="pt-BR"/>
        </w:rPr>
        <w:t xml:space="preserve"> s</w:t>
      </w:r>
      <w:r w:rsidRPr="00EC5E1E">
        <w:rPr>
          <w:lang w:val="pt-BR"/>
        </w:rPr>
        <w:t xml:space="preserve">ử dụng vay vốn </w:t>
      </w:r>
      <w:r w:rsidR="00BA51CB">
        <w:rPr>
          <w:lang w:val="pt-BR"/>
        </w:rPr>
        <w:t>N</w:t>
      </w:r>
      <w:r w:rsidRPr="00EC5E1E">
        <w:rPr>
          <w:lang w:val="pt-BR"/>
        </w:rPr>
        <w:t>gân hàng tái thiết Đức đầu tư xây dựng được hơn 610km đường điện</w:t>
      </w:r>
      <w:r w:rsidR="00D0329E">
        <w:rPr>
          <w:lang w:val="pt-BR"/>
        </w:rPr>
        <w:t>,</w:t>
      </w:r>
      <w:r w:rsidRPr="00EC5E1E">
        <w:rPr>
          <w:lang w:val="pt-BR"/>
        </w:rPr>
        <w:t xml:space="preserve"> đến nay có </w:t>
      </w:r>
      <w:r w:rsidRPr="00596276">
        <w:rPr>
          <w:lang w:val="pt-BR"/>
        </w:rPr>
        <w:t>100% số xã</w:t>
      </w:r>
      <w:r w:rsidR="000D57E1">
        <w:rPr>
          <w:lang w:val="pt-BR"/>
        </w:rPr>
        <w:t xml:space="preserve"> và</w:t>
      </w:r>
      <w:r w:rsidRPr="00596276">
        <w:rPr>
          <w:lang w:val="pt-BR"/>
        </w:rPr>
        <w:t xml:space="preserve"> 99,97% số hộ trên địa bàn tỉnh được sử dụng lưới điện quốc gia. </w:t>
      </w:r>
    </w:p>
    <w:p w:rsidR="00551D32" w:rsidRPr="00E94599" w:rsidRDefault="00FD3DA7" w:rsidP="00442D9F">
      <w:pPr>
        <w:spacing w:before="120"/>
        <w:ind w:firstLine="720"/>
        <w:jc w:val="both"/>
        <w:rPr>
          <w:bCs/>
          <w:i/>
          <w:lang w:val="vi-VN"/>
        </w:rPr>
      </w:pPr>
      <w:r>
        <w:rPr>
          <w:bCs/>
          <w:i/>
          <w:lang w:val="pt-BR"/>
        </w:rPr>
        <w:t>2.4</w:t>
      </w:r>
      <w:r w:rsidR="00551D32" w:rsidRPr="00E94599">
        <w:rPr>
          <w:bCs/>
          <w:i/>
          <w:lang w:val="vi-VN"/>
        </w:rPr>
        <w:t>. Về hạ tầng thủy lợi</w:t>
      </w:r>
      <w:r w:rsidR="00551D32" w:rsidRPr="007F4104">
        <w:rPr>
          <w:bCs/>
          <w:i/>
          <w:lang w:val="pt-BR"/>
        </w:rPr>
        <w:t>; cấp, thoát nước và môi trường</w:t>
      </w:r>
    </w:p>
    <w:p w:rsidR="00551D32" w:rsidRPr="006346CB" w:rsidRDefault="00551D32" w:rsidP="00442D9F">
      <w:pPr>
        <w:spacing w:before="120"/>
        <w:ind w:firstLine="720"/>
        <w:jc w:val="both"/>
        <w:rPr>
          <w:lang w:val="vi-VN"/>
        </w:rPr>
      </w:pPr>
      <w:r w:rsidRPr="00E94599">
        <w:rPr>
          <w:lang w:val="vi-VN"/>
        </w:rPr>
        <w:t xml:space="preserve">- Hệ thống thủy lợi từng bước được đầu tư xây dựng, củng cố </w:t>
      </w:r>
      <w:r w:rsidRPr="00E94599">
        <w:rPr>
          <w:lang w:val="sq-AL"/>
        </w:rPr>
        <w:t>theo hướng hoàn thiện, đa mục tiêu đáp ứng ngày càng tốt hơn yêu cầu</w:t>
      </w:r>
      <w:r w:rsidRPr="00E94599">
        <w:rPr>
          <w:lang w:val="vi-VN"/>
        </w:rPr>
        <w:t xml:space="preserve"> phục vụ tưới tiêu trong sản xuất nông nghiệp, nhu cầu dân sinh, công nghiệp, góp phần cắt, giảm lũ, lụt cho vùng hạ du. </w:t>
      </w:r>
      <w:r w:rsidRPr="00E94599">
        <w:rPr>
          <w:lang w:val="sq-AL"/>
        </w:rPr>
        <w:t xml:space="preserve">Từ năm 2011 đến nay, nâng cấp, xây dựng mới và đưa vào </w:t>
      </w:r>
      <w:r w:rsidRPr="006346CB">
        <w:rPr>
          <w:lang w:val="sq-AL"/>
        </w:rPr>
        <w:t>khai thác 59 hồ, đập thuỷ lợi; tổng dung tích các hồ chứa tăng từ 785,6 triệu m</w:t>
      </w:r>
      <w:r w:rsidRPr="006346CB">
        <w:rPr>
          <w:vertAlign w:val="superscript"/>
          <w:lang w:val="sq-AL"/>
        </w:rPr>
        <w:t>3</w:t>
      </w:r>
      <w:r w:rsidRPr="006346CB">
        <w:rPr>
          <w:lang w:val="sq-AL"/>
        </w:rPr>
        <w:t xml:space="preserve"> lên 824,13 triệu m</w:t>
      </w:r>
      <w:r w:rsidRPr="006346CB">
        <w:rPr>
          <w:vertAlign w:val="superscript"/>
          <w:lang w:val="sq-AL"/>
        </w:rPr>
        <w:t>3</w:t>
      </w:r>
      <w:r w:rsidRPr="006346CB">
        <w:rPr>
          <w:lang w:val="sq-AL"/>
        </w:rPr>
        <w:t xml:space="preserve">; </w:t>
      </w:r>
      <w:r w:rsidRPr="006346CB">
        <w:rPr>
          <w:lang w:val="vi-VN"/>
        </w:rPr>
        <w:t>kiên cố hóa 946,4 km kênh mương thủy lợi nội đồng (nâng tỷ lệ kênh mương được kiên cố hóa đạt 50,4%, tăng 15,3% so với năm 2010).</w:t>
      </w:r>
    </w:p>
    <w:p w:rsidR="00551D32" w:rsidRPr="00E94599" w:rsidRDefault="00551D32" w:rsidP="00442D9F">
      <w:pPr>
        <w:spacing w:before="120"/>
        <w:ind w:firstLine="720"/>
        <w:jc w:val="both"/>
        <w:rPr>
          <w:b/>
          <w:i/>
          <w:lang w:val="sv-SE"/>
        </w:rPr>
      </w:pPr>
      <w:r w:rsidRPr="00E94599">
        <w:rPr>
          <w:lang w:val="vi-VN"/>
        </w:rPr>
        <w:t>- Năng lực công tác quản lý, vận hành các công trình thủy lợi được nâng lên, tổng diện tích tưới hàng năm tăng từ 104.700 ha (năm 2011) lên 112.400 ha (năm 2015), trong đó: diện tích sản xuất</w:t>
      </w:r>
      <w:r w:rsidR="00BA51CB" w:rsidRPr="00C37FDD">
        <w:rPr>
          <w:lang w:val="vi-VN"/>
        </w:rPr>
        <w:t xml:space="preserve"> </w:t>
      </w:r>
      <w:r w:rsidRPr="00E94599">
        <w:rPr>
          <w:lang w:val="vi-VN"/>
        </w:rPr>
        <w:t xml:space="preserve">được đảm bảo tưới </w:t>
      </w:r>
      <w:r w:rsidR="00BA51CB" w:rsidRPr="00C37FDD">
        <w:rPr>
          <w:lang w:val="vi-VN"/>
        </w:rPr>
        <w:t xml:space="preserve">nước </w:t>
      </w:r>
      <w:r w:rsidRPr="00E94599">
        <w:rPr>
          <w:lang w:val="vi-VN"/>
        </w:rPr>
        <w:t>ổn định đạt 95.450 ha (tăng 2</w:t>
      </w:r>
      <w:r w:rsidR="00BA51CB" w:rsidRPr="00C37FDD">
        <w:rPr>
          <w:lang w:val="vi-VN"/>
        </w:rPr>
        <w:t>.</w:t>
      </w:r>
      <w:r w:rsidRPr="00E94599">
        <w:rPr>
          <w:lang w:val="vi-VN"/>
        </w:rPr>
        <w:t>592 ha), diện tích trồng các cây màu, cây rau 14.210 ha (tăng 5.210 ha), diện tích nuôi trồng thủy sản 2.750 ha.</w:t>
      </w:r>
      <w:r w:rsidRPr="00E94599">
        <w:rPr>
          <w:spacing w:val="-2"/>
          <w:lang w:val="sv-SE"/>
        </w:rPr>
        <w:t xml:space="preserve"> </w:t>
      </w:r>
    </w:p>
    <w:p w:rsidR="00551D32" w:rsidRPr="00E94599" w:rsidRDefault="00551D32" w:rsidP="00442D9F">
      <w:pPr>
        <w:spacing w:before="120"/>
        <w:ind w:firstLine="720"/>
        <w:jc w:val="both"/>
        <w:rPr>
          <w:lang w:val="sv-SE"/>
        </w:rPr>
      </w:pPr>
      <w:r w:rsidRPr="00E94599">
        <w:rPr>
          <w:lang w:val="sv-SE"/>
        </w:rPr>
        <w:t>- Tập trung đẩy nhanh tiến độ đầu tư xây dựng các hồ, đập thuỷ lợi, như: Hồ Rào Trổ (162 triệu m</w:t>
      </w:r>
      <w:r w:rsidRPr="00E94599">
        <w:rPr>
          <w:vertAlign w:val="superscript"/>
          <w:lang w:val="sv-SE"/>
        </w:rPr>
        <w:t>3</w:t>
      </w:r>
      <w:r w:rsidRPr="00E94599">
        <w:rPr>
          <w:lang w:val="sv-SE"/>
        </w:rPr>
        <w:t>), Đá Hàn (19,8 triệu m</w:t>
      </w:r>
      <w:r w:rsidRPr="00E94599">
        <w:rPr>
          <w:vertAlign w:val="superscript"/>
          <w:lang w:val="sv-SE"/>
        </w:rPr>
        <w:t>3</w:t>
      </w:r>
      <w:r w:rsidRPr="00E94599">
        <w:rPr>
          <w:lang w:val="sv-SE"/>
        </w:rPr>
        <w:t>), Khe Xai (12,16 triệu m</w:t>
      </w:r>
      <w:r w:rsidRPr="00E94599">
        <w:rPr>
          <w:vertAlign w:val="superscript"/>
          <w:lang w:val="sv-SE"/>
        </w:rPr>
        <w:t>3</w:t>
      </w:r>
      <w:r w:rsidRPr="00E94599">
        <w:rPr>
          <w:lang w:val="sv-SE"/>
        </w:rPr>
        <w:t xml:space="preserve">),...; hiện đại hoá hệ thống thủy </w:t>
      </w:r>
      <w:r w:rsidR="000D57E1">
        <w:rPr>
          <w:lang w:val="sv-SE"/>
        </w:rPr>
        <w:t>lợi</w:t>
      </w:r>
      <w:r w:rsidR="000D57E1" w:rsidRPr="00E94599">
        <w:rPr>
          <w:lang w:val="sv-SE"/>
        </w:rPr>
        <w:t xml:space="preserve"> </w:t>
      </w:r>
      <w:r w:rsidRPr="00E94599">
        <w:rPr>
          <w:lang w:val="sv-SE"/>
        </w:rPr>
        <w:t>Kẻ Gỗ, Sông Rác; hệ thống kênh trục sông Nghèn - Cống Đức Xá, đặc biệt là hệ thống thủy lợi đa mục tiêu Ngàn Trươi - Cẩm Trang với dung tích hữu ích 704 triệu m</w:t>
      </w:r>
      <w:r w:rsidRPr="00E94599">
        <w:rPr>
          <w:vertAlign w:val="superscript"/>
          <w:lang w:val="sv-SE"/>
        </w:rPr>
        <w:t>3</w:t>
      </w:r>
      <w:r w:rsidRPr="00E94599">
        <w:rPr>
          <w:lang w:val="sv-SE"/>
        </w:rPr>
        <w:t xml:space="preserve"> nước được </w:t>
      </w:r>
      <w:r w:rsidR="000D57E1">
        <w:rPr>
          <w:lang w:val="sv-SE"/>
        </w:rPr>
        <w:t>đầu tư</w:t>
      </w:r>
      <w:r w:rsidRPr="00E94599">
        <w:rPr>
          <w:lang w:val="sv-SE"/>
        </w:rPr>
        <w:t xml:space="preserve"> xây dựng, sẽ cung cấp nguồn nước cho Dự án khai thác mỏ sắt Thạch Khê, tưới cho 32.585 ha đất nông nghiệp, đồng thời phát triển thủy điện, du lịch sinh thái. </w:t>
      </w:r>
    </w:p>
    <w:p w:rsidR="00551D32" w:rsidRPr="00E94599" w:rsidRDefault="00551D32" w:rsidP="00442D9F">
      <w:pPr>
        <w:spacing w:before="120"/>
        <w:ind w:firstLine="720"/>
        <w:jc w:val="both"/>
        <w:rPr>
          <w:lang w:val="sv-SE"/>
        </w:rPr>
      </w:pPr>
      <w:r w:rsidRPr="00E94599">
        <w:rPr>
          <w:lang w:val="sv-SE"/>
        </w:rPr>
        <w:t>- Các công trình đê điều, phòng chống giảm nhẹ thiên tai luôn được chú</w:t>
      </w:r>
      <w:r w:rsidRPr="00E94599">
        <w:rPr>
          <w:lang w:val="vi-VN"/>
        </w:rPr>
        <w:t xml:space="preserve"> trọng duy tu, sửa chữa thường xuyên; giai đoạn 2011-</w:t>
      </w:r>
      <w:r w:rsidR="00AC6827" w:rsidRPr="00E94599">
        <w:rPr>
          <w:lang w:val="vi-VN"/>
        </w:rPr>
        <w:t>201</w:t>
      </w:r>
      <w:r w:rsidR="00AC6827" w:rsidRPr="00990812">
        <w:rPr>
          <w:lang w:val="sv-SE"/>
        </w:rPr>
        <w:t>5</w:t>
      </w:r>
      <w:r w:rsidR="00AC6827" w:rsidRPr="00E94599">
        <w:rPr>
          <w:lang w:val="vi-VN"/>
        </w:rPr>
        <w:t xml:space="preserve"> </w:t>
      </w:r>
      <w:r w:rsidRPr="00E94599">
        <w:rPr>
          <w:lang w:val="vi-VN"/>
        </w:rPr>
        <w:t>đã củng cố</w:t>
      </w:r>
      <w:r w:rsidRPr="007F4104">
        <w:rPr>
          <w:lang w:val="sv-SE"/>
        </w:rPr>
        <w:t>,</w:t>
      </w:r>
      <w:r w:rsidRPr="00E94599">
        <w:rPr>
          <w:lang w:val="vi-VN"/>
        </w:rPr>
        <w:t xml:space="preserve"> nâng cấp được </w:t>
      </w:r>
      <w:r w:rsidR="00AC6827" w:rsidRPr="00990812">
        <w:rPr>
          <w:lang w:val="sv-SE"/>
        </w:rPr>
        <w:t>trên 55</w:t>
      </w:r>
      <w:r w:rsidR="00AC6827" w:rsidRPr="00E94599">
        <w:rPr>
          <w:lang w:val="vi-VN"/>
        </w:rPr>
        <w:t xml:space="preserve">km </w:t>
      </w:r>
      <w:r w:rsidRPr="00E94599">
        <w:rPr>
          <w:lang w:val="vi-VN"/>
        </w:rPr>
        <w:t>đê biển, đê cửa sông</w:t>
      </w:r>
      <w:r w:rsidR="00AC6827" w:rsidRPr="00990812">
        <w:rPr>
          <w:lang w:val="sv-SE"/>
        </w:rPr>
        <w:t>;</w:t>
      </w:r>
      <w:r w:rsidRPr="00E94599">
        <w:rPr>
          <w:lang w:val="vi-VN"/>
        </w:rPr>
        <w:t xml:space="preserve"> </w:t>
      </w:r>
      <w:r w:rsidR="00AC6827" w:rsidRPr="00E94599">
        <w:rPr>
          <w:lang w:val="vi-VN"/>
        </w:rPr>
        <w:t>2</w:t>
      </w:r>
      <w:r w:rsidR="00AC6827" w:rsidRPr="00990812">
        <w:rPr>
          <w:lang w:val="sv-SE"/>
        </w:rPr>
        <w:t>4</w:t>
      </w:r>
      <w:r w:rsidRPr="00E94599">
        <w:rPr>
          <w:lang w:val="vi-VN"/>
        </w:rPr>
        <w:t xml:space="preserve">,6km đê sông; nâng tổng số các tuyến đê được sửa chữa, nâng cấp, xây dựng kiên cố lên 154/318km (chiếm 48,5%), tăng 23,6% so với năm 2010; hàng năm thực hiện duy tu, bảo dưỡng được 96km đê các loại; xây dựng 100 nhà chòi tránh lũ và 2 công trình trạm cảnh báo thiên tai. </w:t>
      </w:r>
    </w:p>
    <w:p w:rsidR="000F1FFE" w:rsidRPr="00C92734" w:rsidRDefault="00551D32" w:rsidP="00442D9F">
      <w:pPr>
        <w:shd w:val="clear" w:color="auto" w:fill="FFFFFF"/>
        <w:spacing w:before="120"/>
        <w:ind w:firstLine="720"/>
        <w:jc w:val="both"/>
        <w:rPr>
          <w:color w:val="FF0000"/>
          <w:lang w:val="nb-NO"/>
        </w:rPr>
      </w:pPr>
      <w:r w:rsidRPr="00E94599">
        <w:rPr>
          <w:lang w:val="sv-SE"/>
        </w:rPr>
        <w:lastRenderedPageBreak/>
        <w:t xml:space="preserve">- </w:t>
      </w:r>
      <w:r w:rsidRPr="00E94599">
        <w:rPr>
          <w:lang w:val="vi-VN"/>
        </w:rPr>
        <w:t xml:space="preserve">Hệ thống cấp nước sạch, vệ sinh môi trường nông thôn từng bước được cải thiện, đã </w:t>
      </w:r>
      <w:r w:rsidRPr="00E94599">
        <w:rPr>
          <w:spacing w:val="-2"/>
          <w:lang w:val="sv-SE"/>
        </w:rPr>
        <w:t xml:space="preserve">đầu tư xây dựng, nâng cấp, mở rộng được đưa vào sử dụng 20 công trình cấp nước sinh hoạt nông thôn tập trung; xây dựng đưa vào khai thác hàng nghìn công trình cấp nước nhỏ lẻ </w:t>
      </w:r>
      <w:r w:rsidRPr="00E94599">
        <w:rPr>
          <w:lang w:val="vi-VN"/>
        </w:rPr>
        <w:t xml:space="preserve">và hàng trăm công trình cấp nước, nhà vệ sinh công cộng; tỷ lệ hộ gia đình nông thôn sử dụng nước sạch hợp vệ sinh tăng nhanh (năm </w:t>
      </w:r>
      <w:r w:rsidRPr="0080501F">
        <w:rPr>
          <w:lang w:val="vi-VN"/>
        </w:rPr>
        <w:t xml:space="preserve">2013 đạt </w:t>
      </w:r>
      <w:r w:rsidRPr="0080501F">
        <w:rPr>
          <w:lang w:val="sv-SE"/>
        </w:rPr>
        <w:t>83,63%</w:t>
      </w:r>
      <w:r w:rsidRPr="0080501F">
        <w:rPr>
          <w:lang w:val="vi-VN"/>
        </w:rPr>
        <w:t xml:space="preserve">, năm 2015 đạt 90%, tăng 28,9% so với năm 2010). </w:t>
      </w:r>
      <w:r w:rsidR="000F1FFE" w:rsidRPr="0080501F">
        <w:rPr>
          <w:lang w:val="nl-NL"/>
        </w:rPr>
        <w:t xml:space="preserve">Đặc biệt là dự án Hệ thống cấp nước cho Khu kinh tế Vũng Áng đang được đầu tư xây dựng, </w:t>
      </w:r>
      <w:r w:rsidR="000F1FFE" w:rsidRPr="0080501F">
        <w:rPr>
          <w:bCs/>
          <w:lang w:val="vi-VN"/>
        </w:rPr>
        <w:t xml:space="preserve">đã hoàn thành </w:t>
      </w:r>
      <w:r w:rsidR="00AC6827" w:rsidRPr="0080501F">
        <w:rPr>
          <w:bCs/>
          <w:lang w:val="vi-VN"/>
        </w:rPr>
        <w:t>trên 80</w:t>
      </w:r>
      <w:r w:rsidR="000F1FFE" w:rsidRPr="0080501F">
        <w:rPr>
          <w:bCs/>
          <w:lang w:val="vi-VN"/>
        </w:rPr>
        <w:t xml:space="preserve">% </w:t>
      </w:r>
      <w:r w:rsidR="000F1FFE" w:rsidRPr="0080501F">
        <w:rPr>
          <w:bCs/>
          <w:lang w:val="sq-AL"/>
        </w:rPr>
        <w:t xml:space="preserve">tổng </w:t>
      </w:r>
      <w:r w:rsidR="000F1FFE" w:rsidRPr="0080501F">
        <w:rPr>
          <w:bCs/>
          <w:lang w:val="vi-VN"/>
        </w:rPr>
        <w:t>khối lượng; trong đó,</w:t>
      </w:r>
      <w:r w:rsidR="0080501F" w:rsidRPr="0080501F">
        <w:rPr>
          <w:bCs/>
          <w:lang w:val="en-GB"/>
        </w:rPr>
        <w:t xml:space="preserve"> </w:t>
      </w:r>
      <w:r w:rsidR="0080501F" w:rsidRPr="0080501F">
        <w:rPr>
          <w:lang w:val="sq-AL"/>
        </w:rPr>
        <w:t>Nhà máy nước giai đoạn 1 công suất 40.000 m3/ngày đêm đã hoàn thành, đảm bảo cấp nước cho Nhà máy Nhiệt điện Vũng Áng I hoạt động. Các hạng mục kênh dẫn, tuynel, đập dâng Lạc Tiến đã hoàn thành vào ngày 01/02/2015, đủ điều kiện cung cấp nước 275.000m3/ngày đêm cho Khu kinh tế Vũng Áng;</w:t>
      </w:r>
      <w:r w:rsidR="000F1FFE" w:rsidRPr="0080501F">
        <w:rPr>
          <w:bCs/>
          <w:lang w:val="nl-NL"/>
        </w:rPr>
        <w:t xml:space="preserve"> khi</w:t>
      </w:r>
      <w:r w:rsidR="000F1FFE" w:rsidRPr="0080501F">
        <w:rPr>
          <w:bCs/>
          <w:lang w:val="vi-VN"/>
        </w:rPr>
        <w:t xml:space="preserve"> </w:t>
      </w:r>
      <w:r w:rsidR="000F1FFE" w:rsidRPr="0080501F">
        <w:rPr>
          <w:lang w:val="nl-NL"/>
        </w:rPr>
        <w:t>Dự án hoàn thành sẽ có công suất hơn 1 triệu m3 nước/ngày đêm, đảm bảo phục vụ nước cho sản xuất, sinh hoạt tại Khu kinh tế Vũng Áng và các địa phương trong vùng hưởng lợi.</w:t>
      </w:r>
    </w:p>
    <w:p w:rsidR="00551D32" w:rsidRPr="00E94599" w:rsidRDefault="00FD3DA7" w:rsidP="00442D9F">
      <w:pPr>
        <w:spacing w:before="120"/>
        <w:ind w:firstLine="720"/>
        <w:jc w:val="both"/>
        <w:rPr>
          <w:bCs/>
          <w:i/>
          <w:lang w:val="vi-VN"/>
        </w:rPr>
      </w:pPr>
      <w:r w:rsidRPr="00797EB0">
        <w:rPr>
          <w:bCs/>
          <w:i/>
          <w:lang w:val="vi-VN"/>
        </w:rPr>
        <w:t>2.5</w:t>
      </w:r>
      <w:r w:rsidR="00551D32" w:rsidRPr="00E94599">
        <w:rPr>
          <w:bCs/>
          <w:i/>
          <w:lang w:val="vi-VN"/>
        </w:rPr>
        <w:t xml:space="preserve">. </w:t>
      </w:r>
      <w:r w:rsidR="00551D32" w:rsidRPr="00797EB0">
        <w:rPr>
          <w:bCs/>
          <w:i/>
          <w:lang w:val="vi-VN"/>
        </w:rPr>
        <w:t>Về h</w:t>
      </w:r>
      <w:r w:rsidR="00551D32" w:rsidRPr="00E94599">
        <w:rPr>
          <w:bCs/>
          <w:i/>
          <w:lang w:val="vi-VN"/>
        </w:rPr>
        <w:t>ạ tầng y tế</w:t>
      </w:r>
    </w:p>
    <w:p w:rsidR="00551D32" w:rsidRPr="007F4104" w:rsidRDefault="00551D32" w:rsidP="00442D9F">
      <w:pPr>
        <w:spacing w:before="120"/>
        <w:ind w:firstLine="720"/>
        <w:jc w:val="both"/>
        <w:rPr>
          <w:bCs/>
          <w:lang w:val="vi-VN"/>
        </w:rPr>
      </w:pPr>
      <w:r w:rsidRPr="007F4104">
        <w:rPr>
          <w:bCs/>
          <w:lang w:val="vi-VN"/>
        </w:rPr>
        <w:t>- Cơ sở hạ tầng ngành y tế chuyển biến tích cực và hoàn thiện hơn, nhiều công trình, hạng mục công trình được xây mới, cải tạo, sửa chữa, nâng cấp và mở rộng; chất lượng các phòng bệnh cũng như hiệu quả sử dụng giường bệnh được nâng cao; phương tiện cấp cứu, trang thiết bị y tế công nghệ cao được đầu tư góp phần nâng cao chất lượng khám chữa bệnh cho nhân dân, tăng khả năng tiếp cận của người dân đối với các dịch vụ y tế có chất lượng ở tuyến huyện, vùng sâu, vùng xa. Nguồn vốn đầu tư cho lĩnh vực y tế thời gian qua chủ yếu được tập trung đầu tư từ nguồn vốn Trái phiếu Chính phủ, nguồn hỗ trợ có mục</w:t>
      </w:r>
      <w:r w:rsidRPr="007F4104">
        <w:rPr>
          <w:lang w:val="vi-VN"/>
        </w:rPr>
        <w:t xml:space="preserve"> </w:t>
      </w:r>
      <w:r w:rsidRPr="007F4104">
        <w:rPr>
          <w:bCs/>
          <w:lang w:val="vi-VN"/>
        </w:rPr>
        <w:t>tiêu từ ngân sách Trung ương, ngân sách tỉnh, nguồn vốn Chương trình MTQG và nguồn vốn ODA. Đến nay, toàn tỉnh đã có 05 bệnh viện tuyến tỉnh, 04 bệnh viện tuyến huyện được xây mới, 09 bệnh viện tuyến huyện và 02 phòng khám đa khoa khu vực được đầu tư cải tạo nâng cấp, mở rộng đưa vào sử dụng; 11/18 bệnh viện ứng dụng công nghệ thông tin quản lý bệnh viện, 18/18 bệnh viện có hệ thốn</w:t>
      </w:r>
      <w:r w:rsidR="00FE6524">
        <w:rPr>
          <w:bCs/>
          <w:lang w:val="vi-VN"/>
        </w:rPr>
        <w:t>g xử lý chất thải theo quy định</w:t>
      </w:r>
      <w:r w:rsidR="00FE6524" w:rsidRPr="00FE6524">
        <w:rPr>
          <w:bCs/>
          <w:lang w:val="vi-VN"/>
        </w:rPr>
        <w:t>.</w:t>
      </w:r>
      <w:r w:rsidRPr="007F4104">
        <w:rPr>
          <w:bCs/>
          <w:lang w:val="vi-VN"/>
        </w:rPr>
        <w:t xml:space="preserve"> </w:t>
      </w:r>
    </w:p>
    <w:p w:rsidR="00551D32" w:rsidRPr="005D3F78" w:rsidRDefault="00551D32" w:rsidP="00442D9F">
      <w:pPr>
        <w:spacing w:before="120"/>
        <w:ind w:firstLine="720"/>
        <w:jc w:val="both"/>
        <w:rPr>
          <w:color w:val="FF0000"/>
          <w:lang w:val="vi-VN"/>
        </w:rPr>
      </w:pPr>
      <w:r w:rsidRPr="007F4104">
        <w:rPr>
          <w:lang w:val="vi-VN"/>
        </w:rPr>
        <w:t xml:space="preserve">- Đầu tư xây dựng mới hệ thống trung tâm </w:t>
      </w:r>
      <w:r w:rsidRPr="00E94599">
        <w:rPr>
          <w:lang w:val="vi-VN"/>
        </w:rPr>
        <w:t xml:space="preserve">Y tế dự phòng </w:t>
      </w:r>
      <w:r w:rsidRPr="007F4104">
        <w:rPr>
          <w:lang w:val="vi-VN"/>
        </w:rPr>
        <w:t xml:space="preserve">từ tuyến tỉnh đến huyện, </w:t>
      </w:r>
      <w:r w:rsidRPr="00E94599">
        <w:rPr>
          <w:lang w:val="vi-VN"/>
        </w:rPr>
        <w:t xml:space="preserve">đáp </w:t>
      </w:r>
      <w:r w:rsidRPr="007F4104">
        <w:rPr>
          <w:lang w:val="vi-VN"/>
        </w:rPr>
        <w:t>nhu cầu</w:t>
      </w:r>
      <w:r w:rsidRPr="00E94599">
        <w:rPr>
          <w:lang w:val="vi-VN"/>
        </w:rPr>
        <w:t xml:space="preserve"> </w:t>
      </w:r>
      <w:r w:rsidRPr="007F4104">
        <w:rPr>
          <w:lang w:val="vi-VN"/>
        </w:rPr>
        <w:t xml:space="preserve">phòng bệnh cho xã hội và </w:t>
      </w:r>
      <w:r w:rsidRPr="00E94599">
        <w:rPr>
          <w:lang w:val="vi-VN"/>
        </w:rPr>
        <w:t>nhân dân</w:t>
      </w:r>
      <w:r w:rsidRPr="007F4104">
        <w:rPr>
          <w:lang w:val="vi-VN"/>
        </w:rPr>
        <w:t xml:space="preserve">, đến nay có 11 đơn vị được xây dựng mới (10 </w:t>
      </w:r>
      <w:r w:rsidR="00762525" w:rsidRPr="00C37FDD">
        <w:rPr>
          <w:lang w:val="vi-VN"/>
        </w:rPr>
        <w:t xml:space="preserve">đơn vị </w:t>
      </w:r>
      <w:r w:rsidRPr="007F4104">
        <w:rPr>
          <w:lang w:val="vi-VN"/>
        </w:rPr>
        <w:t xml:space="preserve">cấp huyện, 01 </w:t>
      </w:r>
      <w:r w:rsidR="00762525" w:rsidRPr="00C37FDD">
        <w:rPr>
          <w:lang w:val="vi-VN"/>
        </w:rPr>
        <w:t xml:space="preserve">đơn vị </w:t>
      </w:r>
      <w:r w:rsidRPr="007F4104">
        <w:rPr>
          <w:lang w:val="vi-VN"/>
        </w:rPr>
        <w:t xml:space="preserve">cấp tỉnh). Công tác xã hội hóa y tế được đẩy mạnh; tỷ lệ số giường bệnh/10.000 dân được nâng lên từ </w:t>
      </w:r>
      <w:r w:rsidRPr="00E26C2D">
        <w:rPr>
          <w:lang w:val="vi-VN"/>
        </w:rPr>
        <w:t xml:space="preserve">29,2 năm 2010 lên </w:t>
      </w:r>
      <w:r w:rsidR="00AC6827" w:rsidRPr="00990812">
        <w:rPr>
          <w:lang w:val="vi-VN"/>
        </w:rPr>
        <w:t>30</w:t>
      </w:r>
      <w:r w:rsidRPr="00E26C2D">
        <w:rPr>
          <w:lang w:val="vi-VN"/>
        </w:rPr>
        <w:t xml:space="preserve"> năm 2015</w:t>
      </w:r>
      <w:r w:rsidR="00AC6827" w:rsidRPr="00990812">
        <w:rPr>
          <w:lang w:val="vi-VN"/>
        </w:rPr>
        <w:t>;</w:t>
      </w:r>
      <w:r w:rsidRPr="007F4104">
        <w:rPr>
          <w:lang w:val="vi-VN"/>
        </w:rPr>
        <w:t xml:space="preserve"> </w:t>
      </w:r>
      <w:r w:rsidRPr="00E26C2D">
        <w:rPr>
          <w:lang w:val="vi-VN"/>
        </w:rPr>
        <w:t>tỷ lệ x</w:t>
      </w:r>
      <w:r w:rsidRPr="00E26C2D">
        <w:rPr>
          <w:noProof/>
          <w:lang w:val="pt-BR"/>
        </w:rPr>
        <w:t xml:space="preserve">ã đạt chuẩn quốc gia về y tế </w:t>
      </w:r>
      <w:r w:rsidR="00AC6827">
        <w:rPr>
          <w:noProof/>
          <w:lang w:val="pt-BR"/>
        </w:rPr>
        <w:t xml:space="preserve">là </w:t>
      </w:r>
      <w:r w:rsidRPr="00E26C2D">
        <w:rPr>
          <w:noProof/>
          <w:lang w:val="pt-BR"/>
        </w:rPr>
        <w:t>65%</w:t>
      </w:r>
      <w:r w:rsidRPr="00E26C2D">
        <w:rPr>
          <w:lang w:val="vi-VN"/>
        </w:rPr>
        <w:t>.</w:t>
      </w:r>
      <w:r w:rsidRPr="005D3F78">
        <w:rPr>
          <w:color w:val="FF0000"/>
          <w:lang w:val="vi-VN"/>
        </w:rPr>
        <w:t xml:space="preserve"> </w:t>
      </w:r>
    </w:p>
    <w:p w:rsidR="00551D32" w:rsidRPr="00E94599" w:rsidRDefault="00FD3DA7" w:rsidP="00442D9F">
      <w:pPr>
        <w:spacing w:before="120"/>
        <w:ind w:firstLine="720"/>
        <w:jc w:val="both"/>
        <w:rPr>
          <w:i/>
          <w:lang w:val="pt-BR"/>
        </w:rPr>
      </w:pPr>
      <w:r>
        <w:rPr>
          <w:i/>
          <w:lang w:val="pt-BR"/>
        </w:rPr>
        <w:t>2.6</w:t>
      </w:r>
      <w:r w:rsidR="00551D32" w:rsidRPr="00E94599">
        <w:rPr>
          <w:i/>
          <w:lang w:val="pt-BR"/>
        </w:rPr>
        <w:t>. Hệ thống giáo dục và đào tạo.</w:t>
      </w:r>
    </w:p>
    <w:p w:rsidR="00551D32" w:rsidRPr="00EC5E1E" w:rsidRDefault="00551D32" w:rsidP="00442D9F">
      <w:pPr>
        <w:spacing w:before="120"/>
        <w:ind w:firstLine="720"/>
        <w:jc w:val="both"/>
        <w:rPr>
          <w:lang w:val="vi-VN"/>
        </w:rPr>
      </w:pPr>
      <w:r w:rsidRPr="00E94599">
        <w:rPr>
          <w:b/>
          <w:i/>
          <w:lang w:val="pt-BR"/>
        </w:rPr>
        <w:t xml:space="preserve">- </w:t>
      </w:r>
      <w:r w:rsidRPr="00E94599">
        <w:rPr>
          <w:lang w:val="pt-BR"/>
        </w:rPr>
        <w:t>Với nguồn vốn từ các chương trình MTQG</w:t>
      </w:r>
      <w:r w:rsidR="00762525">
        <w:rPr>
          <w:lang w:val="pt-BR"/>
        </w:rPr>
        <w:t>,</w:t>
      </w:r>
      <w:r w:rsidRPr="00E94599">
        <w:rPr>
          <w:lang w:val="pt-BR"/>
        </w:rPr>
        <w:t xml:space="preserve"> TPCP đầu tư cho chương trình giáo dục và đào tạo</w:t>
      </w:r>
      <w:r>
        <w:rPr>
          <w:lang w:val="pt-BR"/>
        </w:rPr>
        <w:t>,</w:t>
      </w:r>
      <w:r w:rsidRPr="00E94599">
        <w:rPr>
          <w:lang w:val="pt-BR"/>
        </w:rPr>
        <w:t xml:space="preserve"> đã</w:t>
      </w:r>
      <w:r w:rsidRPr="00E94599">
        <w:rPr>
          <w:lang w:val="nl-NL"/>
        </w:rPr>
        <w:t xml:space="preserve"> </w:t>
      </w:r>
      <w:r>
        <w:rPr>
          <w:lang w:val="nl-NL"/>
        </w:rPr>
        <w:t xml:space="preserve">tạo điều kiện </w:t>
      </w:r>
      <w:r w:rsidRPr="00E94599">
        <w:rPr>
          <w:lang w:val="nl-NL"/>
        </w:rPr>
        <w:t xml:space="preserve">thực hiện đạt chuẩn phổ cập giáo dục </w:t>
      </w:r>
      <w:r w:rsidRPr="00EC5E1E">
        <w:rPr>
          <w:lang w:val="vi-VN"/>
        </w:rPr>
        <w:t xml:space="preserve">mầm non cho trẻ em 5 tuổi, duy trì và giữ vững kết quả phổ cập giáo dục tiểu học, giáo dục trung học cơ sở đúng độ tuổi, tình trạng tái mù chữ không diễn ra; </w:t>
      </w:r>
      <w:r w:rsidRPr="006346CB">
        <w:rPr>
          <w:lang w:val="vi-VN"/>
        </w:rPr>
        <w:t>100% xã, phường, thị trấn phổ cập giáo dục tiểu học, phổ cập giáo dục THCS đúng độ tuổi, hoàn thành đưa vào sử dụng 1.584 phòng học, 223 phòng công vụ</w:t>
      </w:r>
      <w:r w:rsidRPr="00EC5E1E">
        <w:rPr>
          <w:lang w:val="vi-VN"/>
        </w:rPr>
        <w:t xml:space="preserve"> </w:t>
      </w:r>
      <w:r w:rsidRPr="00EC5E1E">
        <w:rPr>
          <w:lang w:val="vi-VN"/>
        </w:rPr>
        <w:lastRenderedPageBreak/>
        <w:t xml:space="preserve">giáo viên; </w:t>
      </w:r>
      <w:r w:rsidR="00FE6524" w:rsidRPr="00FE6524">
        <w:rPr>
          <w:lang w:val="pt-BR"/>
        </w:rPr>
        <w:t>c</w:t>
      </w:r>
      <w:r w:rsidRPr="00EC5E1E">
        <w:rPr>
          <w:lang w:val="vi-VN"/>
        </w:rPr>
        <w:t>ơ sở vật chất trường lớp học được cải thiện và phấn đấu đến hết năm 2015 đạt mục tiêu 85% số trường học các cấp đạt chuẩn quốc gia.</w:t>
      </w:r>
    </w:p>
    <w:p w:rsidR="00551D32" w:rsidRPr="00EC5E1E" w:rsidRDefault="00551D32" w:rsidP="00442D9F">
      <w:pPr>
        <w:spacing w:before="120"/>
        <w:ind w:firstLine="720"/>
        <w:jc w:val="both"/>
        <w:rPr>
          <w:lang w:val="vi-VN"/>
        </w:rPr>
      </w:pPr>
      <w:r w:rsidRPr="00EC5E1E">
        <w:rPr>
          <w:lang w:val="vi-VN"/>
        </w:rPr>
        <w:t xml:space="preserve">- Công tác đào tạo nghề và giải quyết việc làm có nhiều chuyển biến tích </w:t>
      </w:r>
      <w:r w:rsidR="00FE6524">
        <w:rPr>
          <w:lang w:val="vi-VN"/>
        </w:rPr>
        <w:t>cực</w:t>
      </w:r>
      <w:r w:rsidR="00FE6524" w:rsidRPr="00FE6524">
        <w:rPr>
          <w:lang w:val="vi-VN"/>
        </w:rPr>
        <w:t>. V</w:t>
      </w:r>
      <w:r w:rsidRPr="00EC5E1E">
        <w:rPr>
          <w:lang w:val="vi-VN"/>
        </w:rPr>
        <w:t>iệc đổi mới và phát triển dạy nghề được chú trọng, ưu tiên đầu tư cơ sở vật chất, trang thiết bị, đáp ứng yêu cầu công tác đào tạo nghề lao động nông thôn, nghề chất lượng cao</w:t>
      </w:r>
      <w:r w:rsidR="00762525" w:rsidRPr="00C37FDD">
        <w:rPr>
          <w:lang w:val="vi-VN"/>
        </w:rPr>
        <w:t>,</w:t>
      </w:r>
      <w:r w:rsidRPr="00EC5E1E">
        <w:rPr>
          <w:lang w:val="vi-VN"/>
        </w:rPr>
        <w:t xml:space="preserve"> trong đó tập trung đầu tư cho 4 trường trọng điểm với 14 nghề được đầu tư (4 nghề cấp độ quốc tế, 5 nghề cấp độ Khu vực ASEAN và 5 nghề cấp độ quốc gia) và cơ sở vật chất của các trung tâm dạy nghề cấp huyện; góp phần nâng tỷ lệ lao động qua đào tạo từ 35,5% năm 2011 lên 51% năm 2015 và tạo việc làm bình quân mỗi năm hơn 30.000 lượt người.</w:t>
      </w:r>
    </w:p>
    <w:p w:rsidR="00551D32" w:rsidRPr="00E94599" w:rsidRDefault="00FD3DA7" w:rsidP="00442D9F">
      <w:pPr>
        <w:spacing w:before="120"/>
        <w:ind w:firstLine="720"/>
        <w:jc w:val="both"/>
        <w:rPr>
          <w:i/>
          <w:lang w:val="vi-VN"/>
        </w:rPr>
      </w:pPr>
      <w:r w:rsidRPr="00D70756">
        <w:rPr>
          <w:i/>
          <w:lang w:val="vi-VN"/>
        </w:rPr>
        <w:t>2.7</w:t>
      </w:r>
      <w:r w:rsidR="00551D32" w:rsidRPr="00E94599">
        <w:rPr>
          <w:i/>
          <w:lang w:val="vi-VN"/>
        </w:rPr>
        <w:t>. Hệ thống thiết chế văn hóa thể thao.</w:t>
      </w:r>
    </w:p>
    <w:p w:rsidR="00551D32" w:rsidRPr="00E94599" w:rsidRDefault="00551D32" w:rsidP="00442D9F">
      <w:pPr>
        <w:spacing w:before="120"/>
        <w:ind w:firstLine="720"/>
        <w:jc w:val="both"/>
        <w:rPr>
          <w:lang w:val="nl-NL"/>
        </w:rPr>
      </w:pPr>
      <w:r w:rsidRPr="00E94599">
        <w:rPr>
          <w:lang w:val="vi-VN"/>
        </w:rPr>
        <w:t xml:space="preserve">- Đã tiến hành </w:t>
      </w:r>
      <w:r w:rsidRPr="00E94599">
        <w:rPr>
          <w:lang w:val="nl-NL"/>
        </w:rPr>
        <w:t xml:space="preserve">tu bổ và tôn </w:t>
      </w:r>
      <w:r w:rsidRPr="00324883">
        <w:rPr>
          <w:lang w:val="nl-NL"/>
        </w:rPr>
        <w:t>tạo 10 di tích cấp quốc gia, 23 di</w:t>
      </w:r>
      <w:r w:rsidRPr="00E94599">
        <w:rPr>
          <w:lang w:val="nl-NL"/>
        </w:rPr>
        <w:t xml:space="preserve"> tích được tu bổ cấp thiết, góp phần bảo tồn và phát huy giá trị di sản văn hóa của dân tộc, thúc đẩy xã hội hóa các hoạt động trùng tu, tôn tạo di tích thúc đẩy sự phát triển ngành kinh tế mũi nhọn du lịch, mang lại lợi ích về tinh thần và vật chất cho người dân. Sưu tầm, bảo tồn và phát huy 4 đề tài về văn hóa phi vật thể, góp phần nâng cao nhận thức của nhân dân, cán bộ và toàn xã hội về truyền thống văn hóa của dân tộc; xây dựng 01 cổng thông tin điện tử Danh nhân văn hóa thế giới Nguyễn Du.</w:t>
      </w:r>
    </w:p>
    <w:p w:rsidR="00551D32" w:rsidRPr="00E94599" w:rsidRDefault="00551D32" w:rsidP="00442D9F">
      <w:pPr>
        <w:spacing w:before="120"/>
        <w:ind w:firstLine="720"/>
        <w:jc w:val="both"/>
        <w:rPr>
          <w:lang w:val="nl-NL"/>
        </w:rPr>
      </w:pPr>
      <w:r w:rsidRPr="00E94599">
        <w:rPr>
          <w:lang w:val="nl-NL"/>
        </w:rPr>
        <w:t xml:space="preserve">- Hệ thống thiết chế văn hoá thể thao khu vực miền núi, vùng sâu, vùng xa được tăng cường đầu tư xây dựng, phát triển và phối hợp, lồng ghép với Chương trình MTQG xây dựng nông thôn mới để thực hiện tốt các tiêu chí xây dựng về văn hóa cấp xã, cấp thôn trong bộ tiêu chí quy chuẩn Quốc gia quy hoạch xây dựng nông thôn mới; đã hỗ trợ trang thiết bị cho 6 nhà văn hóa, 9 đội thông tin lưu động huyện; 70 nhà văn hóa xã, 65 nhà văn hóa thôn, cấp sách cho các thư viện huyện, hỗ trợ xây dựng 10 nhà văn hóa xã, 5 nhà văn hóa thôn, cấp ấn phẩm văn hóa cho 36 xã đặc biệt khó khăn, vùng sâu,vùng xa. </w:t>
      </w:r>
    </w:p>
    <w:p w:rsidR="00551D32" w:rsidRPr="00E94599" w:rsidRDefault="00FD3DA7" w:rsidP="00442D9F">
      <w:pPr>
        <w:spacing w:before="120"/>
        <w:ind w:firstLine="720"/>
        <w:jc w:val="both"/>
        <w:rPr>
          <w:bCs/>
          <w:i/>
          <w:lang w:val="vi-VN"/>
        </w:rPr>
      </w:pPr>
      <w:r>
        <w:rPr>
          <w:bCs/>
          <w:i/>
          <w:lang w:val="nl-NL"/>
        </w:rPr>
        <w:t>2.8</w:t>
      </w:r>
      <w:r w:rsidR="00551D32" w:rsidRPr="00E94599">
        <w:rPr>
          <w:bCs/>
          <w:i/>
          <w:lang w:val="vi-VN"/>
        </w:rPr>
        <w:t>. Hạ tầng bưu chính, viễn thông.</w:t>
      </w:r>
    </w:p>
    <w:p w:rsidR="00551D32" w:rsidRPr="00EC5E1E" w:rsidRDefault="00551D32" w:rsidP="00442D9F">
      <w:pPr>
        <w:spacing w:before="120"/>
        <w:ind w:firstLine="720"/>
        <w:jc w:val="both"/>
        <w:rPr>
          <w:lang w:val="nl-NL"/>
        </w:rPr>
      </w:pPr>
      <w:r w:rsidRPr="00EC5E1E">
        <w:rPr>
          <w:lang w:val="nl-NL"/>
        </w:rPr>
        <w:t xml:space="preserve">- Hạ tầng bưu chính, viễn thông phát triển mạnh, được đầu tư xây dựng phát triển khá đồng bộ, số lượng trạm thu phát sóng thông tin di động (BTS) tăng nhanh 1.600 trạm so với 887 trạm năm 2010; 100% các xóm, thôn, khu dân cư đã có sóng điện thoại cố định và di động. Toàn tỉnh có 46 bưu cục các cấp, 231 điểm bưu điện văn hóa xã, 7 đại lý bưu điện và điểm giao dịch chuyển phát, 100% xã có báo Hà Tĩnh và báo Nhân dân trong ngày. Chiều dài mạng cáp quang tăng hơn gấp 2 lần so với năm 2010, đạt </w:t>
      </w:r>
      <w:r w:rsidR="00CA3320">
        <w:rPr>
          <w:lang w:val="nl-NL"/>
        </w:rPr>
        <w:t xml:space="preserve">trên </w:t>
      </w:r>
      <w:r w:rsidRPr="00EC5E1E">
        <w:rPr>
          <w:lang w:val="nl-NL"/>
        </w:rPr>
        <w:t>6.000km; đặc biệt, đã hoàn chỉnh và đưa vào sử dụng hệ thống thông tin giao ban trực tuyến đến tất cả các huyện, thành phố, thị xã; hoàn thành xây dựng dự án số hóa trong sản xuất chương trình, truyền dẫn phát sóng và đưa sóng truyền hình Hà Tĩnh lên vệ tinh.</w:t>
      </w:r>
    </w:p>
    <w:p w:rsidR="00551D32" w:rsidRPr="00EC5E1E" w:rsidRDefault="00551D32" w:rsidP="00442D9F">
      <w:pPr>
        <w:spacing w:before="120"/>
        <w:ind w:firstLine="720"/>
        <w:jc w:val="both"/>
        <w:rPr>
          <w:lang w:val="nl-NL"/>
        </w:rPr>
      </w:pPr>
      <w:r w:rsidRPr="00EC5E1E">
        <w:rPr>
          <w:lang w:val="nl-NL"/>
        </w:rPr>
        <w:t>- Các dịch vụ điện thoại, dịch vụ Internet ADSL (băng thông rộng) tăng nhanh, số thuê bao điện thoại đạt 88/100 dân; số thuê bao Internet đạt 4,6/100 dân, 1.680 trạm thu phát sóng di động (BTS), tăng gần gấp đôi so với năm 2010; sẵn sàng đáp ứng các dịch vụ trao đổi thông tin qua mạng.</w:t>
      </w:r>
    </w:p>
    <w:p w:rsidR="00551D32" w:rsidRPr="00E94599" w:rsidRDefault="00FD3DA7" w:rsidP="00442D9F">
      <w:pPr>
        <w:widowControl w:val="0"/>
        <w:spacing w:before="120"/>
        <w:ind w:firstLine="720"/>
        <w:jc w:val="both"/>
        <w:rPr>
          <w:i/>
          <w:lang w:val="nl-NL"/>
        </w:rPr>
      </w:pPr>
      <w:r>
        <w:rPr>
          <w:i/>
          <w:lang w:val="nl-NL"/>
        </w:rPr>
        <w:lastRenderedPageBreak/>
        <w:t>2.9</w:t>
      </w:r>
      <w:r w:rsidR="00551D32" w:rsidRPr="00E94599">
        <w:rPr>
          <w:i/>
          <w:lang w:val="nl-NL"/>
        </w:rPr>
        <w:t>. Quốc phòng, An ninh.</w:t>
      </w:r>
    </w:p>
    <w:p w:rsidR="00551D32" w:rsidRPr="00E94599" w:rsidRDefault="00551D32" w:rsidP="00442D9F">
      <w:pPr>
        <w:widowControl w:val="0"/>
        <w:spacing w:before="120"/>
        <w:ind w:firstLine="720"/>
        <w:jc w:val="both"/>
        <w:rPr>
          <w:lang w:val="nl-NL"/>
        </w:rPr>
      </w:pPr>
      <w:r w:rsidRPr="00E94599">
        <w:rPr>
          <w:lang w:val="nl-NL"/>
        </w:rPr>
        <w:t xml:space="preserve">Giai đoạn 2011-2015 </w:t>
      </w:r>
      <w:r w:rsidR="00CA3320">
        <w:rPr>
          <w:lang w:val="nl-NL"/>
        </w:rPr>
        <w:t>có</w:t>
      </w:r>
      <w:r w:rsidRPr="00E94599">
        <w:rPr>
          <w:lang w:val="nl-NL"/>
        </w:rPr>
        <w:t xml:space="preserve"> 50 công trình dự án hạ tầng doanh trại lực lượng vũ trang, công trình phòng thủ được đầu tư từ nguồn hỗ trợ có mục tiêu NSTW và Ngân sách địa phương với tổng số vốn đã bố trí là 880 tỷ đồng; đã hoàn thành và đưa vào sử dụng 38 công trình góp phần tăng cường</w:t>
      </w:r>
      <w:r w:rsidR="00762525">
        <w:rPr>
          <w:lang w:val="nl-NL"/>
        </w:rPr>
        <w:t xml:space="preserve"> cơ</w:t>
      </w:r>
      <w:r w:rsidRPr="00E94599">
        <w:rPr>
          <w:lang w:val="nl-NL"/>
        </w:rPr>
        <w:t xml:space="preserve"> sở vật chất, nâng cao điều kiện làm việc và chiến đấu của LLVT; phục vụ tốt</w:t>
      </w:r>
      <w:r w:rsidR="00762525">
        <w:rPr>
          <w:lang w:val="nl-NL"/>
        </w:rPr>
        <w:t xml:space="preserve"> nhiệm vụ</w:t>
      </w:r>
      <w:r w:rsidRPr="00E94599">
        <w:rPr>
          <w:lang w:val="nl-NL"/>
        </w:rPr>
        <w:t xml:space="preserve"> phát triển kinh tế - xã hội gắn với củng cố quốc phòng - an ninh, nhất là các khu vực trọng yếu, khu vực biên giới. </w:t>
      </w:r>
    </w:p>
    <w:p w:rsidR="00762CBB" w:rsidRDefault="00D4016C" w:rsidP="00442D9F">
      <w:pPr>
        <w:widowControl w:val="0"/>
        <w:spacing w:before="120"/>
        <w:ind w:firstLine="720"/>
        <w:jc w:val="both"/>
        <w:rPr>
          <w:b/>
          <w:lang w:val="nl-NL"/>
        </w:rPr>
      </w:pPr>
      <w:r>
        <w:rPr>
          <w:b/>
          <w:lang w:val="nl-NL"/>
        </w:rPr>
        <w:t>II</w:t>
      </w:r>
      <w:r w:rsidR="00551D32">
        <w:rPr>
          <w:b/>
          <w:lang w:val="nl-NL"/>
        </w:rPr>
        <w:t xml:space="preserve">. </w:t>
      </w:r>
      <w:r w:rsidR="00762CBB">
        <w:rPr>
          <w:b/>
          <w:lang w:val="nl-NL"/>
        </w:rPr>
        <w:t>Một số khó khăn, hạn chế và nguyên nhân</w:t>
      </w:r>
    </w:p>
    <w:p w:rsidR="00551D32" w:rsidRPr="00E94599" w:rsidRDefault="00F53322" w:rsidP="00442D9F">
      <w:pPr>
        <w:widowControl w:val="0"/>
        <w:spacing w:before="120"/>
        <w:ind w:firstLine="720"/>
        <w:jc w:val="both"/>
        <w:rPr>
          <w:b/>
          <w:lang w:val="nl-NL"/>
        </w:rPr>
      </w:pPr>
      <w:r>
        <w:rPr>
          <w:b/>
          <w:lang w:val="nl-NL"/>
        </w:rPr>
        <w:t xml:space="preserve">1. </w:t>
      </w:r>
      <w:r w:rsidR="00B947CB">
        <w:rPr>
          <w:b/>
          <w:lang w:val="nl-NL"/>
        </w:rPr>
        <w:t>Khó khăn, hạn chế</w:t>
      </w:r>
    </w:p>
    <w:p w:rsidR="00551D32" w:rsidRDefault="00551D32" w:rsidP="00442D9F">
      <w:pPr>
        <w:widowControl w:val="0"/>
        <w:spacing w:before="120"/>
        <w:ind w:firstLine="720"/>
        <w:jc w:val="both"/>
        <w:rPr>
          <w:lang w:val="nl-NL"/>
        </w:rPr>
      </w:pPr>
      <w:r>
        <w:rPr>
          <w:lang w:val="nl-NL"/>
        </w:rPr>
        <w:t>- Tuy việc huy động các nguồn vốn đầu tư toàn xã hội giai đoạn 2011-2015 t</w:t>
      </w:r>
      <w:r w:rsidRPr="00EF541A">
        <w:rPr>
          <w:lang w:val="nl-NL"/>
        </w:rPr>
        <w:t>ă</w:t>
      </w:r>
      <w:r>
        <w:rPr>
          <w:lang w:val="nl-NL"/>
        </w:rPr>
        <w:t>ng nhanh so với giai đoạn 2006-2010 nhưng nguồn vốn đầu tư từ ngân sách nhà nước</w:t>
      </w:r>
      <w:r w:rsidR="00C76C7B">
        <w:rPr>
          <w:lang w:val="nl-NL"/>
        </w:rPr>
        <w:t xml:space="preserve"> (chỉ bằng 7,9% tổng vốn đầu tư toàn xã hội)</w:t>
      </w:r>
      <w:r>
        <w:rPr>
          <w:lang w:val="nl-NL"/>
        </w:rPr>
        <w:t xml:space="preserve"> c</w:t>
      </w:r>
      <w:r w:rsidR="00D340E0">
        <w:rPr>
          <w:lang w:val="nl-NL"/>
        </w:rPr>
        <w:t>hưa đáp ứng</w:t>
      </w:r>
      <w:r>
        <w:rPr>
          <w:lang w:val="nl-NL"/>
        </w:rPr>
        <w:t xml:space="preserve"> nhu cầu đầu tư các công trình kết cấu hạ tầng kinh tế - xã hội</w:t>
      </w:r>
      <w:r w:rsidR="00D340E0">
        <w:rPr>
          <w:lang w:val="nl-NL"/>
        </w:rPr>
        <w:t xml:space="preserve"> của tỉnh</w:t>
      </w:r>
      <w:r w:rsidR="00B80A29">
        <w:rPr>
          <w:lang w:val="nl-NL"/>
        </w:rPr>
        <w:t>.</w:t>
      </w:r>
    </w:p>
    <w:p w:rsidR="00551D32" w:rsidRDefault="00551D32" w:rsidP="00442D9F">
      <w:pPr>
        <w:widowControl w:val="0"/>
        <w:spacing w:before="120"/>
        <w:ind w:firstLine="720"/>
        <w:jc w:val="both"/>
        <w:rPr>
          <w:lang w:val="nl-NL"/>
        </w:rPr>
      </w:pPr>
      <w:r>
        <w:rPr>
          <w:lang w:val="nl-NL"/>
        </w:rPr>
        <w:t xml:space="preserve">- </w:t>
      </w:r>
      <w:r w:rsidR="00CC6015">
        <w:rPr>
          <w:lang w:val="nl-NL"/>
        </w:rPr>
        <w:t>T</w:t>
      </w:r>
      <w:r>
        <w:rPr>
          <w:lang w:val="nl-NL"/>
        </w:rPr>
        <w:t xml:space="preserve">riển khai </w:t>
      </w:r>
      <w:r w:rsidR="00CC6015">
        <w:rPr>
          <w:lang w:val="nl-NL"/>
        </w:rPr>
        <w:t xml:space="preserve">công tác </w:t>
      </w:r>
      <w:r>
        <w:rPr>
          <w:lang w:val="nl-NL"/>
        </w:rPr>
        <w:t xml:space="preserve">xã hội hóa đầu tư kết quả còn </w:t>
      </w:r>
      <w:r w:rsidR="00B80A29">
        <w:rPr>
          <w:lang w:val="nl-NL"/>
        </w:rPr>
        <w:t>h</w:t>
      </w:r>
      <w:r w:rsidR="00B80A29" w:rsidRPr="00B80A29">
        <w:rPr>
          <w:lang w:val="nl-NL"/>
        </w:rPr>
        <w:t>ạn</w:t>
      </w:r>
      <w:r w:rsidR="00B80A29">
        <w:rPr>
          <w:lang w:val="nl-NL"/>
        </w:rPr>
        <w:t xml:space="preserve"> ch</w:t>
      </w:r>
      <w:r w:rsidR="00B80A29" w:rsidRPr="00B80A29">
        <w:rPr>
          <w:lang w:val="nl-NL"/>
        </w:rPr>
        <w:t>ế</w:t>
      </w:r>
      <w:r>
        <w:rPr>
          <w:lang w:val="nl-NL"/>
        </w:rPr>
        <w:t xml:space="preserve">, nhất là trong các lĩnh vực </w:t>
      </w:r>
      <w:r w:rsidR="00B80A29">
        <w:rPr>
          <w:lang w:val="nl-NL"/>
        </w:rPr>
        <w:t>y t</w:t>
      </w:r>
      <w:r w:rsidR="00B80A29" w:rsidRPr="00B80A29">
        <w:rPr>
          <w:lang w:val="nl-NL"/>
        </w:rPr>
        <w:t>ế</w:t>
      </w:r>
      <w:r w:rsidR="00B80A29">
        <w:rPr>
          <w:lang w:val="nl-NL"/>
        </w:rPr>
        <w:t>, gi</w:t>
      </w:r>
      <w:r w:rsidR="00B80A29" w:rsidRPr="00B80A29">
        <w:rPr>
          <w:lang w:val="nl-NL"/>
        </w:rPr>
        <w:t>áo</w:t>
      </w:r>
      <w:r w:rsidR="00B80A29">
        <w:rPr>
          <w:lang w:val="nl-NL"/>
        </w:rPr>
        <w:t xml:space="preserve"> d</w:t>
      </w:r>
      <w:r w:rsidR="00B80A29" w:rsidRPr="00B80A29">
        <w:rPr>
          <w:lang w:val="nl-NL"/>
        </w:rPr>
        <w:t>ục</w:t>
      </w:r>
      <w:r w:rsidR="00B80A29">
        <w:rPr>
          <w:lang w:val="nl-NL"/>
        </w:rPr>
        <w:t>,..</w:t>
      </w:r>
      <w:r w:rsidRPr="00FE37C5">
        <w:rPr>
          <w:lang w:val="nl-NL"/>
        </w:rPr>
        <w:t>.</w:t>
      </w:r>
      <w:r w:rsidRPr="00DF65B8">
        <w:rPr>
          <w:lang w:val="nl-NL"/>
        </w:rPr>
        <w:t xml:space="preserve"> </w:t>
      </w:r>
      <w:r w:rsidR="00A00956">
        <w:rPr>
          <w:lang w:val="nl-NL"/>
        </w:rPr>
        <w:t>v</w:t>
      </w:r>
      <w:r w:rsidRPr="00DF65B8">
        <w:rPr>
          <w:lang w:val="nl-NL"/>
        </w:rPr>
        <w:t xml:space="preserve">ẫn còn tư tưởng ỷ lại, trông chờ vào </w:t>
      </w:r>
      <w:r>
        <w:rPr>
          <w:lang w:val="nl-NL"/>
        </w:rPr>
        <w:t xml:space="preserve">ngân sách </w:t>
      </w:r>
      <w:r w:rsidRPr="00DF65B8">
        <w:rPr>
          <w:lang w:val="nl-NL"/>
        </w:rPr>
        <w:t>Nhà nước.</w:t>
      </w:r>
      <w:r>
        <w:rPr>
          <w:lang w:val="nl-NL"/>
        </w:rPr>
        <w:t xml:space="preserve"> </w:t>
      </w:r>
    </w:p>
    <w:p w:rsidR="00904A4C" w:rsidRPr="00D0717A" w:rsidRDefault="00904A4C" w:rsidP="00442D9F">
      <w:pPr>
        <w:spacing w:before="120"/>
        <w:ind w:firstLine="720"/>
        <w:jc w:val="both"/>
        <w:rPr>
          <w:lang w:val="en-GB"/>
        </w:rPr>
      </w:pPr>
      <w:r w:rsidRPr="00E94599">
        <w:rPr>
          <w:lang w:val="vi-VN"/>
        </w:rPr>
        <w:t>- Trong nhiều năm trước, thực hiện chủ trương kích cầu của Chính phủ, đồng thời do yêu cầu về xây dựng kết cấu hạ tầng phục vụ công tác xóa đói giảm nghèo, phát triển kinh tế - xã hội trên địa bàn nên các chủ đầu tư đã đồng loạt triển khai nhiều dự án, tuy nhiên trong những năm gần đây Chính phủ thực hiện các chính sách kiềm chế lạm phát dẫn đến mất cân đối về nguồn vốn.</w:t>
      </w:r>
      <w:r>
        <w:rPr>
          <w:lang w:val="en-GB"/>
        </w:rPr>
        <w:t xml:space="preserve"> Đến nay, nhiều dự </w:t>
      </w:r>
      <w:proofErr w:type="gramStart"/>
      <w:r>
        <w:rPr>
          <w:lang w:val="en-GB"/>
        </w:rPr>
        <w:t>án</w:t>
      </w:r>
      <w:proofErr w:type="gramEnd"/>
      <w:r>
        <w:rPr>
          <w:lang w:val="en-GB"/>
        </w:rPr>
        <w:t xml:space="preserve"> triển khai dở dang, </w:t>
      </w:r>
      <w:r w:rsidR="00F061EF">
        <w:rPr>
          <w:lang w:val="en-GB"/>
        </w:rPr>
        <w:t xml:space="preserve">phải </w:t>
      </w:r>
      <w:r>
        <w:rPr>
          <w:lang w:val="en-GB"/>
        </w:rPr>
        <w:t>chuyển tiếp sang hoàn thành trong giai đoạn 2016-2020</w:t>
      </w:r>
      <w:r w:rsidR="00F061EF">
        <w:rPr>
          <w:lang w:val="en-GB"/>
        </w:rPr>
        <w:t xml:space="preserve"> với nhu cầu vốn lớn</w:t>
      </w:r>
      <w:r w:rsidR="00C869DC">
        <w:rPr>
          <w:rStyle w:val="FootnoteReference"/>
          <w:lang w:val="en-GB"/>
        </w:rPr>
        <w:footnoteReference w:id="1"/>
      </w:r>
      <w:r w:rsidR="00F061EF">
        <w:rPr>
          <w:lang w:val="en-GB"/>
        </w:rPr>
        <w:t>.</w:t>
      </w:r>
    </w:p>
    <w:p w:rsidR="004A1421" w:rsidRDefault="004A1421" w:rsidP="00442D9F">
      <w:pPr>
        <w:spacing w:before="120"/>
        <w:ind w:firstLine="720"/>
        <w:jc w:val="both"/>
        <w:rPr>
          <w:lang w:val="en-GB"/>
        </w:rPr>
      </w:pPr>
      <w:r w:rsidRPr="00E94599">
        <w:rPr>
          <w:lang w:val="vi-VN"/>
        </w:rPr>
        <w:t>- Nhiều công trình thuộc ngân sách cấp huyện, xã được dự kiến bố trí nguồn thu tiền sử dụng đất, nhưng những năm gần đây tình hình kinh tế khó khăn, việc đấu giá quyền sử dụng đất ở các địa phương, nhất là các xã khó khăn, vùng sâu, vùng xa đạt thấp dẫn đến hụt nguồn thanh toán vốn đầu tư</w:t>
      </w:r>
      <w:r w:rsidR="00527951">
        <w:rPr>
          <w:rStyle w:val="FootnoteReference"/>
          <w:lang w:val="vi-VN"/>
        </w:rPr>
        <w:footnoteReference w:id="2"/>
      </w:r>
      <w:r w:rsidRPr="00E94599">
        <w:rPr>
          <w:lang w:val="vi-VN"/>
        </w:rPr>
        <w:t>.</w:t>
      </w:r>
    </w:p>
    <w:p w:rsidR="007703AC" w:rsidRDefault="007703AC" w:rsidP="00442D9F">
      <w:pPr>
        <w:spacing w:before="120"/>
        <w:ind w:firstLine="720"/>
        <w:jc w:val="both"/>
        <w:rPr>
          <w:color w:val="000000"/>
          <w:lang w:val="nl-NL"/>
        </w:rPr>
      </w:pPr>
      <w:r w:rsidRPr="005F146D">
        <w:rPr>
          <w:color w:val="000000"/>
          <w:lang w:val="nl-NL"/>
        </w:rPr>
        <w:t xml:space="preserve">- </w:t>
      </w:r>
      <w:r>
        <w:rPr>
          <w:color w:val="000000"/>
          <w:lang w:val="nl-NL"/>
        </w:rPr>
        <w:t>Công tác giải phóng mặt bằng m</w:t>
      </w:r>
      <w:r w:rsidRPr="00B80A29">
        <w:rPr>
          <w:color w:val="000000"/>
          <w:lang w:val="nl-NL"/>
        </w:rPr>
        <w:t>ột</w:t>
      </w:r>
      <w:r>
        <w:rPr>
          <w:color w:val="000000"/>
          <w:lang w:val="nl-NL"/>
        </w:rPr>
        <w:t xml:space="preserve"> s</w:t>
      </w:r>
      <w:r w:rsidRPr="00B80A29">
        <w:rPr>
          <w:color w:val="000000"/>
          <w:lang w:val="nl-NL"/>
        </w:rPr>
        <w:t>ố</w:t>
      </w:r>
      <w:r>
        <w:rPr>
          <w:color w:val="000000"/>
          <w:lang w:val="nl-NL"/>
        </w:rPr>
        <w:t xml:space="preserve"> dự án trên địa bàn còn ch</w:t>
      </w:r>
      <w:r w:rsidRPr="00B80A29">
        <w:rPr>
          <w:color w:val="000000"/>
          <w:lang w:val="nl-NL"/>
        </w:rPr>
        <w:t>ậm</w:t>
      </w:r>
      <w:r>
        <w:rPr>
          <w:color w:val="000000"/>
          <w:lang w:val="nl-NL"/>
        </w:rPr>
        <w:t>, đã ảnh đ</w:t>
      </w:r>
      <w:r w:rsidRPr="00B80A29">
        <w:rPr>
          <w:color w:val="000000"/>
          <w:lang w:val="nl-NL"/>
        </w:rPr>
        <w:t>ến</w:t>
      </w:r>
      <w:r>
        <w:rPr>
          <w:color w:val="000000"/>
          <w:lang w:val="nl-NL"/>
        </w:rPr>
        <w:t xml:space="preserve"> ti</w:t>
      </w:r>
      <w:r w:rsidRPr="00B80A29">
        <w:rPr>
          <w:color w:val="000000"/>
          <w:lang w:val="nl-NL"/>
        </w:rPr>
        <w:t>ến</w:t>
      </w:r>
      <w:r>
        <w:rPr>
          <w:color w:val="000000"/>
          <w:lang w:val="nl-NL"/>
        </w:rPr>
        <w:t xml:space="preserve"> đ</w:t>
      </w:r>
      <w:r w:rsidRPr="00B80A29">
        <w:rPr>
          <w:color w:val="000000"/>
          <w:lang w:val="nl-NL"/>
        </w:rPr>
        <w:t>ộ</w:t>
      </w:r>
      <w:r>
        <w:rPr>
          <w:color w:val="000000"/>
          <w:lang w:val="nl-NL"/>
        </w:rPr>
        <w:t xml:space="preserve"> th</w:t>
      </w:r>
      <w:r w:rsidRPr="00B80A29">
        <w:rPr>
          <w:color w:val="000000"/>
          <w:lang w:val="nl-NL"/>
        </w:rPr>
        <w:t>ực</w:t>
      </w:r>
      <w:r>
        <w:rPr>
          <w:color w:val="000000"/>
          <w:lang w:val="nl-NL"/>
        </w:rPr>
        <w:t xml:space="preserve"> hi</w:t>
      </w:r>
      <w:r w:rsidRPr="00B80A29">
        <w:rPr>
          <w:color w:val="000000"/>
          <w:lang w:val="nl-NL"/>
        </w:rPr>
        <w:t>ện</w:t>
      </w:r>
      <w:r>
        <w:rPr>
          <w:color w:val="000000"/>
          <w:lang w:val="nl-NL"/>
        </w:rPr>
        <w:t xml:space="preserve"> v</w:t>
      </w:r>
      <w:r w:rsidRPr="00B80A29">
        <w:rPr>
          <w:color w:val="000000"/>
          <w:lang w:val="nl-NL"/>
        </w:rPr>
        <w:t>à</w:t>
      </w:r>
      <w:r>
        <w:rPr>
          <w:color w:val="000000"/>
          <w:lang w:val="nl-NL"/>
        </w:rPr>
        <w:t xml:space="preserve"> công tác thu hút nguồn vốn đầu tư</w:t>
      </w:r>
      <w:r w:rsidR="009936F1">
        <w:rPr>
          <w:rStyle w:val="FootnoteReference"/>
          <w:color w:val="000000"/>
          <w:lang w:val="nl-NL"/>
        </w:rPr>
        <w:footnoteReference w:id="3"/>
      </w:r>
      <w:r>
        <w:rPr>
          <w:color w:val="000000"/>
          <w:lang w:val="nl-NL"/>
        </w:rPr>
        <w:t>.</w:t>
      </w:r>
    </w:p>
    <w:p w:rsidR="000A4460" w:rsidRPr="00E32225" w:rsidRDefault="000A4460" w:rsidP="00442D9F">
      <w:pPr>
        <w:spacing w:before="120"/>
        <w:ind w:firstLine="720"/>
        <w:jc w:val="both"/>
        <w:rPr>
          <w:lang w:val="nl-NL"/>
        </w:rPr>
      </w:pPr>
      <w:r w:rsidRPr="00E32225">
        <w:rPr>
          <w:lang w:val="nl-NL"/>
        </w:rPr>
        <w:lastRenderedPageBreak/>
        <w:t>- Tiến độ thi công một số công trình</w:t>
      </w:r>
      <w:r>
        <w:rPr>
          <w:lang w:val="nl-NL"/>
        </w:rPr>
        <w:t>, dự án</w:t>
      </w:r>
      <w:r w:rsidRPr="00E32225">
        <w:rPr>
          <w:lang w:val="nl-NL"/>
        </w:rPr>
        <w:t xml:space="preserve"> còn chậm; thời gian kéo dài. Quyết toán vốn đầu tư chưa đáp ứng yêu cầu theo Chỉ thị 27/CT-TTg của Thủ tướng Chính phủ, tình trạng chậm nộp báo cáo quyết toán ở một số Chủ đầu tư vẫn còn</w:t>
      </w:r>
      <w:r w:rsidR="00F201CF">
        <w:rPr>
          <w:rStyle w:val="FootnoteReference"/>
          <w:lang w:val="nl-NL"/>
        </w:rPr>
        <w:footnoteReference w:id="4"/>
      </w:r>
      <w:r w:rsidRPr="00E32225">
        <w:rPr>
          <w:lang w:val="nl-NL"/>
        </w:rPr>
        <w:t>.</w:t>
      </w:r>
    </w:p>
    <w:p w:rsidR="000A4460" w:rsidRPr="00E32225" w:rsidRDefault="000A4460" w:rsidP="00442D9F">
      <w:pPr>
        <w:spacing w:before="120"/>
        <w:ind w:firstLine="720"/>
        <w:jc w:val="both"/>
        <w:rPr>
          <w:lang w:val="nl-NL"/>
        </w:rPr>
      </w:pPr>
      <w:r w:rsidRPr="00E32225">
        <w:rPr>
          <w:lang w:val="nl-NL"/>
        </w:rPr>
        <w:t>- Hồ sơ trình thẩm định còn sai sót, phải điều chỉnh, sửa đổ</w:t>
      </w:r>
      <w:r w:rsidR="007703AC">
        <w:rPr>
          <w:lang w:val="nl-NL"/>
        </w:rPr>
        <w:t>i</w:t>
      </w:r>
      <w:r>
        <w:rPr>
          <w:lang w:val="nl-NL"/>
        </w:rPr>
        <w:t>,</w:t>
      </w:r>
      <w:r w:rsidRPr="00E32225">
        <w:rPr>
          <w:lang w:val="nl-NL"/>
        </w:rPr>
        <w:t xml:space="preserve"> bổ sung; một số hồ sơ trình chưa phù hợp với quy hoạch được duyệt</w:t>
      </w:r>
      <w:r>
        <w:rPr>
          <w:lang w:val="nl-NL"/>
        </w:rPr>
        <w:t>, chưa xác định được nguồn vốn và khả năng cân đối vốn</w:t>
      </w:r>
      <w:r w:rsidRPr="00E32225">
        <w:rPr>
          <w:lang w:val="nl-NL"/>
        </w:rPr>
        <w:t>.</w:t>
      </w:r>
      <w:r>
        <w:rPr>
          <w:lang w:val="nl-NL"/>
        </w:rPr>
        <w:t xml:space="preserve"> Tiến độ lập, thẩm định, phê duyệt chủ trương đầu tư, quyết định đầu tư các dự án đầu tư công chậm so với thời gian quy định.</w:t>
      </w:r>
    </w:p>
    <w:p w:rsidR="00551D32" w:rsidRPr="00F84F6C" w:rsidRDefault="00880405" w:rsidP="00442D9F">
      <w:pPr>
        <w:widowControl w:val="0"/>
        <w:spacing w:before="120"/>
        <w:ind w:firstLine="720"/>
        <w:jc w:val="both"/>
        <w:rPr>
          <w:b/>
          <w:lang w:val="nl-NL"/>
        </w:rPr>
      </w:pPr>
      <w:r>
        <w:rPr>
          <w:b/>
          <w:lang w:val="nl-NL"/>
        </w:rPr>
        <w:t>2</w:t>
      </w:r>
      <w:r w:rsidR="00551D32">
        <w:rPr>
          <w:b/>
          <w:lang w:val="nl-NL"/>
        </w:rPr>
        <w:t>.</w:t>
      </w:r>
      <w:r w:rsidR="00551D32" w:rsidRPr="00F84F6C">
        <w:rPr>
          <w:b/>
          <w:lang w:val="nl-NL"/>
        </w:rPr>
        <w:t xml:space="preserve"> Nguyên nhân</w:t>
      </w:r>
    </w:p>
    <w:p w:rsidR="00551D32" w:rsidRPr="00E94599" w:rsidRDefault="00551D32" w:rsidP="00442D9F">
      <w:pPr>
        <w:widowControl w:val="0"/>
        <w:spacing w:before="120"/>
        <w:ind w:firstLine="720"/>
        <w:jc w:val="both"/>
        <w:rPr>
          <w:lang w:val="nl-NL"/>
        </w:rPr>
      </w:pPr>
      <w:r w:rsidRPr="00E94599">
        <w:rPr>
          <w:lang w:val="nl-NL"/>
        </w:rPr>
        <w:t>- Do ảnh hưởng của cuộc suy thoái kinh tế trong những năm đầu kế hoạch đã tác động tiêu cực đến nền kinh tế cả nước và của</w:t>
      </w:r>
      <w:r w:rsidR="00B80A29">
        <w:rPr>
          <w:lang w:val="nl-NL"/>
        </w:rPr>
        <w:t xml:space="preserve"> tỉnh.</w:t>
      </w:r>
      <w:r w:rsidRPr="00E94599">
        <w:rPr>
          <w:lang w:val="nl-NL"/>
        </w:rPr>
        <w:t xml:space="preserve"> </w:t>
      </w:r>
    </w:p>
    <w:p w:rsidR="00551D32" w:rsidRPr="00E94599" w:rsidRDefault="00551D32" w:rsidP="00442D9F">
      <w:pPr>
        <w:widowControl w:val="0"/>
        <w:spacing w:before="120"/>
        <w:ind w:firstLine="720"/>
        <w:jc w:val="both"/>
        <w:rPr>
          <w:lang w:val="nl-NL"/>
        </w:rPr>
      </w:pPr>
      <w:r w:rsidRPr="00E94599">
        <w:rPr>
          <w:lang w:val="nl-NL"/>
        </w:rPr>
        <w:t xml:space="preserve">- Chính phủ thực hiện </w:t>
      </w:r>
      <w:r w:rsidR="006E11B8">
        <w:rPr>
          <w:lang w:val="nl-NL"/>
        </w:rPr>
        <w:t xml:space="preserve">tái </w:t>
      </w:r>
      <w:r w:rsidR="000D1A1B">
        <w:rPr>
          <w:lang w:val="nl-NL"/>
        </w:rPr>
        <w:t xml:space="preserve">cơ </w:t>
      </w:r>
      <w:r w:rsidR="006E11B8">
        <w:rPr>
          <w:lang w:val="nl-NL"/>
        </w:rPr>
        <w:t>cấu đầu tư</w:t>
      </w:r>
      <w:r w:rsidR="000D1A1B">
        <w:rPr>
          <w:lang w:val="nl-NL"/>
        </w:rPr>
        <w:t xml:space="preserve"> mà trọng tâm là đầu tư</w:t>
      </w:r>
      <w:r>
        <w:rPr>
          <w:lang w:val="nl-NL"/>
        </w:rPr>
        <w:t xml:space="preserve"> công nhằm tập trung</w:t>
      </w:r>
      <w:r w:rsidRPr="00E94599">
        <w:rPr>
          <w:lang w:val="nl-NL"/>
        </w:rPr>
        <w:t xml:space="preserve"> kiềm chế lạm phát, ổn định kinh tế vĩ mô</w:t>
      </w:r>
      <w:r>
        <w:rPr>
          <w:lang w:val="nl-NL"/>
        </w:rPr>
        <w:t xml:space="preserve"> </w:t>
      </w:r>
      <w:r w:rsidRPr="00777A50">
        <w:rPr>
          <w:lang w:val="nl-NL"/>
        </w:rPr>
        <w:t xml:space="preserve">đã ảnh hưởng rất lớn đến </w:t>
      </w:r>
      <w:r>
        <w:rPr>
          <w:lang w:val="nl-NL"/>
        </w:rPr>
        <w:t>việc thu hút các nguồn vốn đầu tư</w:t>
      </w:r>
      <w:r w:rsidRPr="00777A50">
        <w:rPr>
          <w:lang w:val="nl-NL"/>
        </w:rPr>
        <w:t xml:space="preserve"> </w:t>
      </w:r>
      <w:r>
        <w:rPr>
          <w:lang w:val="nl-NL"/>
        </w:rPr>
        <w:t xml:space="preserve">từ ngân sách nhà nước </w:t>
      </w:r>
      <w:r w:rsidRPr="00777A50">
        <w:rPr>
          <w:lang w:val="nl-NL"/>
        </w:rPr>
        <w:t>của tỉnh</w:t>
      </w:r>
      <w:r w:rsidRPr="00E94599">
        <w:rPr>
          <w:lang w:val="nl-NL"/>
        </w:rPr>
        <w:t>.</w:t>
      </w:r>
    </w:p>
    <w:p w:rsidR="00660D43" w:rsidRDefault="00EB543D" w:rsidP="00442D9F">
      <w:pPr>
        <w:widowControl w:val="0"/>
        <w:spacing w:before="120"/>
        <w:ind w:firstLine="720"/>
        <w:jc w:val="both"/>
        <w:rPr>
          <w:lang w:val="nl-NL"/>
        </w:rPr>
      </w:pPr>
      <w:r>
        <w:rPr>
          <w:lang w:val="de-AT"/>
        </w:rPr>
        <w:t xml:space="preserve">- </w:t>
      </w:r>
      <w:r w:rsidR="00C320A2">
        <w:rPr>
          <w:lang w:val="de-AT"/>
        </w:rPr>
        <w:t>Một số đơn vị</w:t>
      </w:r>
      <w:r>
        <w:rPr>
          <w:lang w:val="de-AT"/>
        </w:rPr>
        <w:t>, địa phương</w:t>
      </w:r>
      <w:r w:rsidR="00C320A2">
        <w:rPr>
          <w:lang w:val="de-AT"/>
        </w:rPr>
        <w:t xml:space="preserve"> chưa chủ động, sáng tạo trong việc huy động nguồn vốn, đổi mới phương thức quản lý để nâng cao hiệu quả đầu tư, nhất là </w:t>
      </w:r>
      <w:r w:rsidR="00C320A2" w:rsidRPr="00335B7F">
        <w:rPr>
          <w:lang w:val="nl-NL"/>
        </w:rPr>
        <w:t>trong các lĩnh vực dịch vụ công cộng.</w:t>
      </w:r>
    </w:p>
    <w:p w:rsidR="004A1421" w:rsidRPr="00AD2E16" w:rsidRDefault="004A1421" w:rsidP="00442D9F">
      <w:pPr>
        <w:widowControl w:val="0"/>
        <w:spacing w:before="120"/>
        <w:ind w:firstLine="720"/>
        <w:jc w:val="both"/>
        <w:rPr>
          <w:lang w:val="nl-NL"/>
        </w:rPr>
      </w:pPr>
      <w:r w:rsidRPr="00AD2E16">
        <w:rPr>
          <w:lang w:val="nl-NL"/>
        </w:rPr>
        <w:t>- Các quy định hiện hành trong quản lý đầu tư và xây dựng</w:t>
      </w:r>
      <w:r>
        <w:rPr>
          <w:lang w:val="nl-NL"/>
        </w:rPr>
        <w:t xml:space="preserve">, nhất là các Nghị định, Thông tư hướng dẫn các văn bản Luật (Luật Xây dựng, Luật Đấu thầu, Luật Đầu tư công, Luật Đầu tư sửa đổi, Luật Doanh nghiệp,...) </w:t>
      </w:r>
      <w:r w:rsidR="00A75BC1">
        <w:rPr>
          <w:lang w:val="nl-NL"/>
        </w:rPr>
        <w:t xml:space="preserve">từ </w:t>
      </w:r>
      <w:r>
        <w:rPr>
          <w:lang w:val="nl-NL"/>
        </w:rPr>
        <w:t xml:space="preserve">Trung ương chưa được ban hành </w:t>
      </w:r>
      <w:r w:rsidR="00A75BC1">
        <w:rPr>
          <w:lang w:val="nl-NL"/>
        </w:rPr>
        <w:t xml:space="preserve">đồng bộ và </w:t>
      </w:r>
      <w:r>
        <w:rPr>
          <w:lang w:val="nl-NL"/>
        </w:rPr>
        <w:t>kịp thời.</w:t>
      </w:r>
    </w:p>
    <w:p w:rsidR="004467D7" w:rsidRDefault="004467D7" w:rsidP="00442D9F">
      <w:pPr>
        <w:spacing w:before="120"/>
        <w:ind w:firstLine="720"/>
        <w:jc w:val="both"/>
        <w:rPr>
          <w:lang w:val="nl-NL"/>
        </w:rPr>
      </w:pPr>
      <w:r>
        <w:rPr>
          <w:lang w:val="nl-NL"/>
        </w:rPr>
        <w:t>- Trong công tác đền bù, giải phóng mặt bằng, sự phối hợp của các cấp, các ngành chưa chặt chẽ; sự vào cuộc của chính quyền địa phương chưa thực sự quyết liệt, công tác tuyên truyền, vận động người dân còn hạn chế; trong khi quy trình thủ tục còn mất nhiều thời gian.</w:t>
      </w:r>
    </w:p>
    <w:p w:rsidR="0099239D" w:rsidRDefault="004467D7" w:rsidP="00442D9F">
      <w:pPr>
        <w:spacing w:before="120"/>
        <w:ind w:firstLine="720"/>
        <w:jc w:val="both"/>
        <w:rPr>
          <w:lang w:val="nl-NL"/>
        </w:rPr>
      </w:pPr>
      <w:r w:rsidRPr="00B8044A">
        <w:rPr>
          <w:lang w:val="nl-NL"/>
        </w:rPr>
        <w:t xml:space="preserve">- </w:t>
      </w:r>
      <w:r w:rsidR="0099239D">
        <w:rPr>
          <w:lang w:val="nl-NL"/>
        </w:rPr>
        <w:t xml:space="preserve">Yêu cầu chuyên môn </w:t>
      </w:r>
      <w:r w:rsidR="00710874">
        <w:rPr>
          <w:lang w:val="nl-NL"/>
        </w:rPr>
        <w:t>trong</w:t>
      </w:r>
      <w:r w:rsidR="0099239D">
        <w:rPr>
          <w:lang w:val="nl-NL"/>
        </w:rPr>
        <w:t xml:space="preserve"> công tác quản lý đầu tư, quản lý dự án ngày càng cao, đòi hỏi phải có sự chuyên nghiệp, chuyên môn hóa; trong khi đó các cấp, các ngành chưa </w:t>
      </w:r>
      <w:r w:rsidR="00A75BC1">
        <w:rPr>
          <w:lang w:val="nl-NL"/>
        </w:rPr>
        <w:t xml:space="preserve">dành nhiều thời gian và sự quan tâm đúng mức trong việc đào tạo, nâng cao năng lực </w:t>
      </w:r>
      <w:r w:rsidR="0099239D">
        <w:rPr>
          <w:lang w:val="nl-NL"/>
        </w:rPr>
        <w:t>cho đội ngũ làm công tác đầu tư</w:t>
      </w:r>
      <w:r w:rsidR="00CC7543">
        <w:rPr>
          <w:lang w:val="nl-NL"/>
        </w:rPr>
        <w:t xml:space="preserve">, </w:t>
      </w:r>
      <w:r w:rsidR="0099239D">
        <w:rPr>
          <w:lang w:val="nl-NL"/>
        </w:rPr>
        <w:t>nhất là ở cấp xã (chủ yếu còn kiêm nhiệm)</w:t>
      </w:r>
      <w:r w:rsidR="00710874">
        <w:rPr>
          <w:lang w:val="nl-NL"/>
        </w:rPr>
        <w:t xml:space="preserve"> dẫn đến </w:t>
      </w:r>
      <w:r w:rsidR="00CC7543">
        <w:rPr>
          <w:lang w:val="nl-NL"/>
        </w:rPr>
        <w:t xml:space="preserve">chất lượng hồ sơ quản lý </w:t>
      </w:r>
      <w:r w:rsidR="004A13DD">
        <w:rPr>
          <w:lang w:val="nl-NL"/>
        </w:rPr>
        <w:t>dự án</w:t>
      </w:r>
      <w:r w:rsidR="00710874">
        <w:rPr>
          <w:lang w:val="nl-NL"/>
        </w:rPr>
        <w:t>,</w:t>
      </w:r>
      <w:r w:rsidR="004A13DD">
        <w:rPr>
          <w:lang w:val="nl-NL"/>
        </w:rPr>
        <w:t xml:space="preserve"> </w:t>
      </w:r>
      <w:r w:rsidR="00CC7543">
        <w:rPr>
          <w:lang w:val="nl-NL"/>
        </w:rPr>
        <w:t>quản lý đầu tư</w:t>
      </w:r>
      <w:r w:rsidR="004A13DD">
        <w:rPr>
          <w:lang w:val="nl-NL"/>
        </w:rPr>
        <w:t xml:space="preserve"> chưa đạt yêu cầu;</w:t>
      </w:r>
      <w:r w:rsidR="00710874">
        <w:rPr>
          <w:lang w:val="nl-NL"/>
        </w:rPr>
        <w:t xml:space="preserve"> tiến độ và chất lượng công trình chưa cao. </w:t>
      </w:r>
    </w:p>
    <w:p w:rsidR="00337F6B" w:rsidRDefault="004467D7" w:rsidP="00442D9F">
      <w:pPr>
        <w:spacing w:before="120"/>
        <w:ind w:firstLine="720"/>
        <w:jc w:val="both"/>
        <w:rPr>
          <w:lang w:val="nl-NL"/>
        </w:rPr>
      </w:pPr>
      <w:r w:rsidRPr="00D44743">
        <w:rPr>
          <w:lang w:val="nl-NL"/>
        </w:rPr>
        <w:t xml:space="preserve">- Năng lực hành nghề của một số đơn vị, cá nhân hoạt động </w:t>
      </w:r>
      <w:r>
        <w:rPr>
          <w:lang w:val="nl-NL"/>
        </w:rPr>
        <w:t xml:space="preserve">xây dựng, nhất là </w:t>
      </w:r>
      <w:r w:rsidRPr="00D44743">
        <w:rPr>
          <w:lang w:val="nl-NL"/>
        </w:rPr>
        <w:t>tư vấn khảo sát, thiết kế còn yếu dẫn đến hồ sơ trình thẩm định, phê duyệt còn nhiều sai sót. Một số đơn vị thi công thiếu tích cực, thi công cầm chừng; bố trí nhân lực, thiết bị, tài chính chưa đúng với hồ sơ dự thầu và hợp đồng đã ký kết.</w:t>
      </w:r>
    </w:p>
    <w:p w:rsidR="00D73F1E" w:rsidRPr="00153E1D" w:rsidRDefault="00D73F1E" w:rsidP="0010227D">
      <w:pPr>
        <w:spacing w:before="120" w:line="276" w:lineRule="auto"/>
        <w:ind w:firstLine="720"/>
        <w:jc w:val="both"/>
        <w:rPr>
          <w:sz w:val="12"/>
          <w:lang w:val="nl-NL"/>
        </w:rPr>
      </w:pPr>
    </w:p>
    <w:p w:rsidR="00470317" w:rsidRPr="002D7D99" w:rsidRDefault="00470317" w:rsidP="0010227D">
      <w:pPr>
        <w:spacing w:before="120" w:line="276" w:lineRule="auto"/>
        <w:ind w:firstLine="720"/>
        <w:jc w:val="both"/>
        <w:rPr>
          <w:sz w:val="6"/>
          <w:lang w:val="nl-NL"/>
        </w:rPr>
      </w:pPr>
    </w:p>
    <w:p w:rsidR="00D73F1E" w:rsidRPr="00190BA4" w:rsidRDefault="00D73F1E" w:rsidP="00C10A5B">
      <w:pPr>
        <w:jc w:val="center"/>
        <w:rPr>
          <w:b/>
        </w:rPr>
      </w:pPr>
      <w:r w:rsidRPr="00190BA4">
        <w:rPr>
          <w:b/>
        </w:rPr>
        <w:t xml:space="preserve">Phần thứ </w:t>
      </w:r>
      <w:r w:rsidR="008A295F" w:rsidRPr="00190BA4">
        <w:rPr>
          <w:b/>
        </w:rPr>
        <w:t>hai</w:t>
      </w:r>
      <w:r w:rsidRPr="00190BA4">
        <w:rPr>
          <w:b/>
        </w:rPr>
        <w:t>:</w:t>
      </w:r>
    </w:p>
    <w:p w:rsidR="00FB4B30" w:rsidRPr="00190BA4" w:rsidRDefault="008A295F" w:rsidP="00C10A5B">
      <w:pPr>
        <w:jc w:val="center"/>
        <w:rPr>
          <w:b/>
          <w:lang w:val="nl-NL"/>
        </w:rPr>
      </w:pPr>
      <w:r w:rsidRPr="00190BA4">
        <w:rPr>
          <w:b/>
          <w:lang w:val="nl-NL"/>
        </w:rPr>
        <w:t>Kế hoạch đầu tư công trung hạn giai đoạn 2016-2020</w:t>
      </w:r>
    </w:p>
    <w:p w:rsidR="00CD6182" w:rsidRPr="00CD6182" w:rsidRDefault="00CD6182" w:rsidP="0010227D">
      <w:pPr>
        <w:widowControl w:val="0"/>
        <w:spacing w:before="120" w:line="276" w:lineRule="auto"/>
        <w:ind w:firstLine="720"/>
        <w:jc w:val="both"/>
        <w:rPr>
          <w:b/>
          <w:sz w:val="2"/>
          <w:szCs w:val="24"/>
          <w:lang w:val="nl-NL"/>
        </w:rPr>
      </w:pPr>
    </w:p>
    <w:p w:rsidR="00335B7F" w:rsidRDefault="00335B7F" w:rsidP="00442D9F">
      <w:pPr>
        <w:widowControl w:val="0"/>
        <w:spacing w:before="120"/>
        <w:ind w:firstLine="720"/>
        <w:jc w:val="both"/>
        <w:rPr>
          <w:b/>
          <w:szCs w:val="24"/>
          <w:lang w:val="nl-NL"/>
        </w:rPr>
      </w:pPr>
      <w:r w:rsidRPr="00335B7F">
        <w:rPr>
          <w:b/>
          <w:szCs w:val="24"/>
          <w:lang w:val="nl-NL"/>
        </w:rPr>
        <w:t>I.</w:t>
      </w:r>
      <w:r>
        <w:rPr>
          <w:b/>
          <w:szCs w:val="24"/>
          <w:lang w:val="nl-NL"/>
        </w:rPr>
        <w:t xml:space="preserve"> Mục tiêu, định hướng đầu tư</w:t>
      </w:r>
    </w:p>
    <w:p w:rsidR="00884FD5" w:rsidRDefault="00F84188" w:rsidP="00442D9F">
      <w:pPr>
        <w:widowControl w:val="0"/>
        <w:spacing w:before="120"/>
        <w:ind w:firstLine="720"/>
        <w:jc w:val="both"/>
        <w:rPr>
          <w:lang w:val="nl-NL"/>
        </w:rPr>
      </w:pPr>
      <w:r>
        <w:rPr>
          <w:lang w:val="nl-NL"/>
        </w:rPr>
        <w:t xml:space="preserve">Trên cơ sở </w:t>
      </w:r>
      <w:r w:rsidR="00402A10">
        <w:rPr>
          <w:lang w:val="nl-NL"/>
        </w:rPr>
        <w:t>quán triệt các mục tiêu phát triển kinh tế</w:t>
      </w:r>
      <w:r w:rsidR="000D1A1B">
        <w:rPr>
          <w:lang w:val="nl-NL"/>
        </w:rPr>
        <w:t xml:space="preserve"> </w:t>
      </w:r>
      <w:r w:rsidR="00402A10">
        <w:rPr>
          <w:lang w:val="nl-NL"/>
        </w:rPr>
        <w:t>- xã hội theo nội dung</w:t>
      </w:r>
      <w:r w:rsidR="00884FD5">
        <w:rPr>
          <w:lang w:val="nl-NL"/>
        </w:rPr>
        <w:t xml:space="preserve"> </w:t>
      </w:r>
      <w:r w:rsidR="00884FD5" w:rsidRPr="00E94599">
        <w:rPr>
          <w:lang w:val="nl-NL"/>
        </w:rPr>
        <w:t>quy hoạch tổng thể phát triển kinh tế - xã hội tỉnh Hà Tĩnh đến năm 2020, tầm nhìn đến năm 2050 đã được</w:t>
      </w:r>
      <w:r w:rsidR="00884FD5">
        <w:rPr>
          <w:lang w:val="nl-NL"/>
        </w:rPr>
        <w:t xml:space="preserve"> </w:t>
      </w:r>
      <w:r w:rsidR="00884FD5" w:rsidRPr="00E94599">
        <w:rPr>
          <w:lang w:val="nl-NL"/>
        </w:rPr>
        <w:t xml:space="preserve">Thủ tướng Chính phủ phê duyệt </w:t>
      </w:r>
      <w:r w:rsidR="00884FD5">
        <w:rPr>
          <w:lang w:val="nl-NL"/>
        </w:rPr>
        <w:t>và Nghị quyết Đại hội tỉnh Đảng bộ lần thứ XVIII</w:t>
      </w:r>
      <w:r w:rsidR="00215A1D">
        <w:rPr>
          <w:lang w:val="nl-NL"/>
        </w:rPr>
        <w:t>;</w:t>
      </w:r>
      <w:r w:rsidR="006E1949">
        <w:rPr>
          <w:lang w:val="nl-NL"/>
        </w:rPr>
        <w:t xml:space="preserve"> tình hình thực tiễn của địa phương và các quy định của pháp luật</w:t>
      </w:r>
      <w:r w:rsidR="00B87BE2">
        <w:rPr>
          <w:lang w:val="nl-NL"/>
        </w:rPr>
        <w:t xml:space="preserve"> hiện hành về đầu tư công</w:t>
      </w:r>
      <w:r w:rsidR="00E13154">
        <w:rPr>
          <w:lang w:val="nl-NL"/>
        </w:rPr>
        <w:t>.</w:t>
      </w:r>
      <w:r w:rsidR="00215A1D">
        <w:rPr>
          <w:lang w:val="nl-NL"/>
        </w:rPr>
        <w:t xml:space="preserve"> </w:t>
      </w:r>
      <w:r w:rsidR="00050A1D">
        <w:rPr>
          <w:lang w:val="nl-NL"/>
        </w:rPr>
        <w:t>G</w:t>
      </w:r>
      <w:r w:rsidR="00215A1D">
        <w:rPr>
          <w:lang w:val="nl-NL"/>
        </w:rPr>
        <w:t>iai đoạn 2016-202</w:t>
      </w:r>
      <w:r w:rsidR="00EF30BA">
        <w:rPr>
          <w:lang w:val="nl-NL"/>
        </w:rPr>
        <w:t>0</w:t>
      </w:r>
      <w:r w:rsidR="00215A1D">
        <w:rPr>
          <w:lang w:val="nl-NL"/>
        </w:rPr>
        <w:t xml:space="preserve"> tập trung ưu tiên đầu tư theo</w:t>
      </w:r>
      <w:r w:rsidR="00EC46C3">
        <w:rPr>
          <w:lang w:val="nl-NL"/>
        </w:rPr>
        <w:t xml:space="preserve"> những</w:t>
      </w:r>
      <w:r w:rsidR="00A12DB5">
        <w:rPr>
          <w:lang w:val="nl-NL"/>
        </w:rPr>
        <w:t xml:space="preserve"> nhóm</w:t>
      </w:r>
      <w:r w:rsidR="00EC46C3">
        <w:rPr>
          <w:lang w:val="nl-NL"/>
        </w:rPr>
        <w:t xml:space="preserve"> </w:t>
      </w:r>
      <w:r w:rsidR="00C33722">
        <w:rPr>
          <w:lang w:val="nl-NL"/>
        </w:rPr>
        <w:t>nhiệm vụ</w:t>
      </w:r>
      <w:r w:rsidR="00106F0C">
        <w:rPr>
          <w:lang w:val="nl-NL"/>
        </w:rPr>
        <w:t xml:space="preserve"> </w:t>
      </w:r>
      <w:r w:rsidR="00C33722">
        <w:rPr>
          <w:lang w:val="nl-NL"/>
        </w:rPr>
        <w:t>sau</w:t>
      </w:r>
      <w:r w:rsidR="00EC46C3">
        <w:rPr>
          <w:lang w:val="nl-NL"/>
        </w:rPr>
        <w:t>:</w:t>
      </w:r>
    </w:p>
    <w:p w:rsidR="00106F0C" w:rsidRDefault="00106F0C" w:rsidP="00442D9F">
      <w:pPr>
        <w:widowControl w:val="0"/>
        <w:spacing w:before="120"/>
        <w:ind w:firstLine="720"/>
        <w:jc w:val="both"/>
        <w:rPr>
          <w:lang w:val="nl-NL"/>
        </w:rPr>
      </w:pPr>
      <w:r>
        <w:rPr>
          <w:lang w:val="nl-NL"/>
        </w:rPr>
        <w:t xml:space="preserve">1. </w:t>
      </w:r>
      <w:r w:rsidR="00ED2081">
        <w:rPr>
          <w:lang w:val="nl-NL"/>
        </w:rPr>
        <w:t>T</w:t>
      </w:r>
      <w:r w:rsidR="00AD3506">
        <w:rPr>
          <w:lang w:val="nl-NL"/>
        </w:rPr>
        <w:t xml:space="preserve">hực hiện các nhiệm vụ đột phá </w:t>
      </w:r>
      <w:r w:rsidR="001851DE">
        <w:rPr>
          <w:lang w:val="nl-NL"/>
        </w:rPr>
        <w:t xml:space="preserve">đã được </w:t>
      </w:r>
      <w:r w:rsidR="00AD3506">
        <w:rPr>
          <w:lang w:val="nl-NL"/>
        </w:rPr>
        <w:t xml:space="preserve">Đại hội </w:t>
      </w:r>
      <w:r w:rsidR="00142D3E">
        <w:rPr>
          <w:lang w:val="nl-NL"/>
        </w:rPr>
        <w:t xml:space="preserve">đại biểu </w:t>
      </w:r>
      <w:r w:rsidR="00AD3506">
        <w:rPr>
          <w:lang w:val="nl-NL"/>
        </w:rPr>
        <w:t>Đảng bộ</w:t>
      </w:r>
      <w:r w:rsidR="00142D3E">
        <w:rPr>
          <w:lang w:val="nl-NL"/>
        </w:rPr>
        <w:t xml:space="preserve"> tỉnh</w:t>
      </w:r>
      <w:r w:rsidR="00AD3506">
        <w:rPr>
          <w:lang w:val="nl-NL"/>
        </w:rPr>
        <w:t xml:space="preserve"> lần thứ XVIII</w:t>
      </w:r>
      <w:r w:rsidR="00142D3E">
        <w:rPr>
          <w:lang w:val="nl-NL"/>
        </w:rPr>
        <w:t xml:space="preserve"> đề ra:</w:t>
      </w:r>
    </w:p>
    <w:p w:rsidR="009B724C" w:rsidRDefault="00ED3066" w:rsidP="00442D9F">
      <w:pPr>
        <w:widowControl w:val="0"/>
        <w:spacing w:before="120"/>
        <w:ind w:firstLine="720"/>
        <w:jc w:val="both"/>
        <w:rPr>
          <w:lang w:val="pt-BR"/>
        </w:rPr>
      </w:pPr>
      <w:r>
        <w:rPr>
          <w:lang w:val="nl-NL"/>
        </w:rPr>
        <w:t xml:space="preserve">- </w:t>
      </w:r>
      <w:r w:rsidR="00ED2081">
        <w:rPr>
          <w:lang w:val="nl-NL"/>
        </w:rPr>
        <w:t xml:space="preserve">Bố trí nguồn lực đầu tư </w:t>
      </w:r>
      <w:r w:rsidR="0004304C">
        <w:rPr>
          <w:lang w:val="nl-NL"/>
        </w:rPr>
        <w:t>phát triển</w:t>
      </w:r>
      <w:r w:rsidR="006A10EA">
        <w:rPr>
          <w:lang w:val="nl-NL"/>
        </w:rPr>
        <w:t xml:space="preserve"> </w:t>
      </w:r>
      <w:r w:rsidR="0004304C">
        <w:rPr>
          <w:lang w:val="nl-NL"/>
        </w:rPr>
        <w:t>kết cấu</w:t>
      </w:r>
      <w:r w:rsidR="006A10EA">
        <w:rPr>
          <w:lang w:val="nl-NL"/>
        </w:rPr>
        <w:t xml:space="preserve"> hạ tầng </w:t>
      </w:r>
      <w:r w:rsidR="00C93380">
        <w:rPr>
          <w:lang w:val="nl-NL"/>
        </w:rPr>
        <w:t xml:space="preserve">các Khu Kinh tế </w:t>
      </w:r>
      <w:r w:rsidR="006A10EA">
        <w:rPr>
          <w:lang w:val="nl-NL"/>
        </w:rPr>
        <w:t xml:space="preserve">Vũng Áng, Khu kinh tế cửa Khẩu quốc tế </w:t>
      </w:r>
      <w:r w:rsidR="00534A17">
        <w:rPr>
          <w:lang w:val="nl-NL"/>
        </w:rPr>
        <w:t>Cầu treo,</w:t>
      </w:r>
      <w:r w:rsidR="006A10EA">
        <w:rPr>
          <w:lang w:val="nl-NL"/>
        </w:rPr>
        <w:t xml:space="preserve"> Khu công nghiệp Gia Lách</w:t>
      </w:r>
      <w:r w:rsidR="00C93380">
        <w:rPr>
          <w:lang w:val="nl-NL"/>
        </w:rPr>
        <w:t xml:space="preserve">; </w:t>
      </w:r>
      <w:r w:rsidR="00C37CE6">
        <w:rPr>
          <w:lang w:val="nl-NL"/>
        </w:rPr>
        <w:t xml:space="preserve">hạ tầng </w:t>
      </w:r>
      <w:r w:rsidR="00005A7A">
        <w:rPr>
          <w:lang w:val="pt-BR"/>
        </w:rPr>
        <w:t>đô thị Thành phố Hà Tĩnh, thị xã Hồng Lĩnh, thị xã Kỳ Anh</w:t>
      </w:r>
      <w:r w:rsidR="007006AB">
        <w:rPr>
          <w:lang w:val="pt-BR"/>
        </w:rPr>
        <w:t xml:space="preserve">, </w:t>
      </w:r>
      <w:r w:rsidR="00D77E83">
        <w:rPr>
          <w:lang w:val="pt-BR"/>
        </w:rPr>
        <w:t>trung tâm</w:t>
      </w:r>
      <w:r w:rsidR="003E2539">
        <w:rPr>
          <w:lang w:val="pt-BR"/>
        </w:rPr>
        <w:t xml:space="preserve"> kinh tế</w:t>
      </w:r>
      <w:r w:rsidR="00D77E83">
        <w:rPr>
          <w:lang w:val="pt-BR"/>
        </w:rPr>
        <w:t xml:space="preserve"> - chính trị huyện mới Kỳ Anh</w:t>
      </w:r>
      <w:r w:rsidR="009B724C">
        <w:rPr>
          <w:lang w:val="pt-BR"/>
        </w:rPr>
        <w:t>.</w:t>
      </w:r>
    </w:p>
    <w:p w:rsidR="009C1BE6" w:rsidRDefault="00D82756" w:rsidP="00442D9F">
      <w:pPr>
        <w:tabs>
          <w:tab w:val="left" w:pos="709"/>
        </w:tabs>
        <w:spacing w:before="120"/>
        <w:ind w:firstLine="709"/>
        <w:jc w:val="both"/>
        <w:rPr>
          <w:lang w:val="pt-BR"/>
        </w:rPr>
      </w:pPr>
      <w:r>
        <w:rPr>
          <w:lang w:val="pt-BR"/>
        </w:rPr>
        <w:t xml:space="preserve">- </w:t>
      </w:r>
      <w:r w:rsidR="00D77920">
        <w:rPr>
          <w:lang w:val="pt-BR"/>
        </w:rPr>
        <w:t>Nâng cấp cơ sở hạ tầng</w:t>
      </w:r>
      <w:r w:rsidR="00442F43">
        <w:rPr>
          <w:lang w:val="pt-BR"/>
        </w:rPr>
        <w:t xml:space="preserve">, </w:t>
      </w:r>
      <w:r w:rsidR="00D77920">
        <w:rPr>
          <w:lang w:val="pt-BR"/>
        </w:rPr>
        <w:t>trang thiết bị cho các cơ sở y tế, giáo dục</w:t>
      </w:r>
      <w:r w:rsidR="003914D3">
        <w:rPr>
          <w:lang w:val="pt-BR"/>
        </w:rPr>
        <w:t xml:space="preserve"> quan trọng của địa phương</w:t>
      </w:r>
      <w:r w:rsidR="00442F43">
        <w:rPr>
          <w:lang w:val="pt-BR"/>
        </w:rPr>
        <w:t xml:space="preserve">; </w:t>
      </w:r>
    </w:p>
    <w:p w:rsidR="009C1BE6" w:rsidRDefault="009C1BE6" w:rsidP="00442D9F">
      <w:pPr>
        <w:tabs>
          <w:tab w:val="left" w:pos="709"/>
        </w:tabs>
        <w:spacing w:before="120"/>
        <w:ind w:firstLine="709"/>
        <w:jc w:val="both"/>
        <w:rPr>
          <w:lang w:val="pt-BR"/>
        </w:rPr>
      </w:pPr>
      <w:r>
        <w:rPr>
          <w:lang w:val="pt-BR"/>
        </w:rPr>
        <w:t xml:space="preserve">- </w:t>
      </w:r>
      <w:r w:rsidR="003B3E04">
        <w:rPr>
          <w:lang w:val="pt-BR"/>
        </w:rPr>
        <w:t xml:space="preserve">Đầu tư, kết nối đồng bộ các Khu du lịch trọng điểm, Khu di tích quốc gia đặc biệt </w:t>
      </w:r>
      <w:r w:rsidR="0055612E">
        <w:rPr>
          <w:lang w:val="pt-BR"/>
        </w:rPr>
        <w:t xml:space="preserve">trên địa bàn; </w:t>
      </w:r>
      <w:r w:rsidR="003B3E04">
        <w:rPr>
          <w:lang w:val="pt-BR"/>
        </w:rPr>
        <w:t>tạo tiềm năng, lợi thế phát triển</w:t>
      </w:r>
      <w:r w:rsidR="000A75C8">
        <w:rPr>
          <w:lang w:val="pt-BR"/>
        </w:rPr>
        <w:t xml:space="preserve"> ngành </w:t>
      </w:r>
      <w:r w:rsidR="003B3E04">
        <w:rPr>
          <w:lang w:val="pt-BR"/>
        </w:rPr>
        <w:t>du lịch - dịch vụ</w:t>
      </w:r>
      <w:r w:rsidR="00374D0D">
        <w:rPr>
          <w:lang w:val="pt-BR"/>
        </w:rPr>
        <w:t xml:space="preserve"> và</w:t>
      </w:r>
      <w:r w:rsidR="0001254A">
        <w:rPr>
          <w:lang w:val="pt-BR"/>
        </w:rPr>
        <w:t xml:space="preserve"> thương mại.</w:t>
      </w:r>
    </w:p>
    <w:p w:rsidR="008E2188" w:rsidRDefault="008E2188" w:rsidP="00442D9F">
      <w:pPr>
        <w:tabs>
          <w:tab w:val="left" w:pos="709"/>
        </w:tabs>
        <w:spacing w:before="120"/>
        <w:ind w:firstLine="709"/>
        <w:jc w:val="both"/>
        <w:rPr>
          <w:lang w:val="pt-BR"/>
        </w:rPr>
      </w:pPr>
      <w:r>
        <w:rPr>
          <w:lang w:val="pt-BR"/>
        </w:rPr>
        <w:t xml:space="preserve">2. Tuân thủ </w:t>
      </w:r>
      <w:r w:rsidR="00EE7214">
        <w:rPr>
          <w:lang w:val="pt-BR"/>
        </w:rPr>
        <w:t xml:space="preserve">nghiêm ngặt </w:t>
      </w:r>
      <w:r>
        <w:rPr>
          <w:lang w:val="pt-BR"/>
        </w:rPr>
        <w:t xml:space="preserve">các quy định của pháp luật về </w:t>
      </w:r>
      <w:r w:rsidR="00D17B5D">
        <w:rPr>
          <w:lang w:val="pt-BR"/>
        </w:rPr>
        <w:t>đầu tư công; đảm bảo sử dụng có hiệu quả các nguồn vốn đầu tư của nhà nước</w:t>
      </w:r>
      <w:r w:rsidR="00830D7E">
        <w:rPr>
          <w:lang w:val="pt-BR"/>
        </w:rPr>
        <w:t>:</w:t>
      </w:r>
    </w:p>
    <w:p w:rsidR="004A07A9" w:rsidRDefault="002D6810" w:rsidP="00442D9F">
      <w:pPr>
        <w:tabs>
          <w:tab w:val="left" w:pos="709"/>
        </w:tabs>
        <w:spacing w:before="120"/>
        <w:ind w:firstLine="709"/>
        <w:jc w:val="both"/>
        <w:rPr>
          <w:lang w:val="pt-BR"/>
        </w:rPr>
      </w:pPr>
      <w:r w:rsidRPr="00187D52">
        <w:rPr>
          <w:lang w:val="pt-BR"/>
        </w:rPr>
        <w:t xml:space="preserve">- </w:t>
      </w:r>
      <w:r w:rsidR="00EB1CA4">
        <w:rPr>
          <w:lang w:val="pt-BR"/>
        </w:rPr>
        <w:t>Tập trung b</w:t>
      </w:r>
      <w:r w:rsidR="004C5E12" w:rsidRPr="00187D52">
        <w:rPr>
          <w:lang w:val="pt-BR"/>
        </w:rPr>
        <w:t>ố trí vốn thanh toán</w:t>
      </w:r>
      <w:r w:rsidR="002C4B37">
        <w:rPr>
          <w:lang w:val="pt-BR"/>
        </w:rPr>
        <w:t xml:space="preserve"> </w:t>
      </w:r>
      <w:r w:rsidR="004C5E12" w:rsidRPr="00187D52">
        <w:rPr>
          <w:lang w:val="pt-BR"/>
        </w:rPr>
        <w:t>nợ xây dựng cơ bản</w:t>
      </w:r>
      <w:r w:rsidR="007F1915" w:rsidRPr="00187D52">
        <w:rPr>
          <w:lang w:val="pt-BR"/>
        </w:rPr>
        <w:t>;</w:t>
      </w:r>
      <w:r w:rsidR="00D1413E">
        <w:rPr>
          <w:lang w:val="pt-BR"/>
        </w:rPr>
        <w:t xml:space="preserve"> kiểm soát chặt chẽ, không để phát sinh nợ đọng xây dựng cơ bản theo đúng quy định của Luật Đầu tư công;</w:t>
      </w:r>
      <w:r w:rsidR="007F1915" w:rsidRPr="00187D52">
        <w:rPr>
          <w:lang w:val="pt-BR"/>
        </w:rPr>
        <w:t xml:space="preserve"> </w:t>
      </w:r>
    </w:p>
    <w:p w:rsidR="005A62A0" w:rsidRDefault="00731244" w:rsidP="00442D9F">
      <w:pPr>
        <w:tabs>
          <w:tab w:val="left" w:pos="709"/>
        </w:tabs>
        <w:spacing w:before="120"/>
        <w:ind w:firstLine="709"/>
        <w:jc w:val="both"/>
        <w:rPr>
          <w:lang w:val="pt-BR"/>
        </w:rPr>
      </w:pPr>
      <w:r>
        <w:rPr>
          <w:lang w:val="nl-NL"/>
        </w:rPr>
        <w:t xml:space="preserve">- </w:t>
      </w:r>
      <w:r w:rsidR="00945989">
        <w:rPr>
          <w:lang w:val="nl-NL"/>
        </w:rPr>
        <w:t>B</w:t>
      </w:r>
      <w:r w:rsidRPr="00AF3C25">
        <w:rPr>
          <w:lang w:val="nl-NL"/>
        </w:rPr>
        <w:t xml:space="preserve">ố trí vốn để hoàn thành và đẩy nhanh tiến độ </w:t>
      </w:r>
      <w:r w:rsidR="00FA004D">
        <w:rPr>
          <w:lang w:val="nl-NL"/>
        </w:rPr>
        <w:t>các dự án dở dang, chuyển tiếp do cấp tỉnh quyết định đầu tư trong giai đoạn 201</w:t>
      </w:r>
      <w:r w:rsidR="00EE6F9F">
        <w:rPr>
          <w:lang w:val="nl-NL"/>
        </w:rPr>
        <w:t>1</w:t>
      </w:r>
      <w:r w:rsidR="00FA004D">
        <w:rPr>
          <w:lang w:val="nl-NL"/>
        </w:rPr>
        <w:t>-2015</w:t>
      </w:r>
      <w:r w:rsidRPr="00AF3C25">
        <w:rPr>
          <w:lang w:val="nl-NL"/>
        </w:rPr>
        <w:t>;</w:t>
      </w:r>
      <w:r w:rsidR="00674E34">
        <w:rPr>
          <w:lang w:val="nl-NL"/>
        </w:rPr>
        <w:t xml:space="preserve"> k</w:t>
      </w:r>
      <w:r w:rsidR="0062168C" w:rsidRPr="00187D52">
        <w:rPr>
          <w:lang w:val="pt-BR"/>
        </w:rPr>
        <w:t>hắc phục tình trạng phân tán, dàn trải</w:t>
      </w:r>
      <w:r w:rsidR="00674E34">
        <w:rPr>
          <w:lang w:val="pt-BR"/>
        </w:rPr>
        <w:t xml:space="preserve"> trong</w:t>
      </w:r>
      <w:r w:rsidR="00943DC1">
        <w:rPr>
          <w:lang w:val="pt-BR"/>
        </w:rPr>
        <w:t xml:space="preserve"> đầu tư xây dựng cơ bản.</w:t>
      </w:r>
    </w:p>
    <w:p w:rsidR="00470317" w:rsidRDefault="000B5CED" w:rsidP="00442D9F">
      <w:pPr>
        <w:tabs>
          <w:tab w:val="left" w:pos="709"/>
        </w:tabs>
        <w:spacing w:before="120"/>
        <w:ind w:firstLine="709"/>
        <w:jc w:val="both"/>
        <w:rPr>
          <w:lang w:val="pt-BR"/>
        </w:rPr>
      </w:pPr>
      <w:r>
        <w:rPr>
          <w:lang w:val="pt-BR"/>
        </w:rPr>
        <w:t xml:space="preserve">3. Đảm bảo </w:t>
      </w:r>
      <w:r w:rsidR="007B1BD6">
        <w:rPr>
          <w:lang w:val="pt-BR"/>
        </w:rPr>
        <w:t xml:space="preserve">cân đối đủ </w:t>
      </w:r>
      <w:r>
        <w:rPr>
          <w:lang w:val="pt-BR"/>
        </w:rPr>
        <w:t>nguồn lực</w:t>
      </w:r>
      <w:r w:rsidR="007365E5">
        <w:rPr>
          <w:lang w:val="pt-BR"/>
        </w:rPr>
        <w:t xml:space="preserve"> để</w:t>
      </w:r>
      <w:r>
        <w:rPr>
          <w:lang w:val="pt-BR"/>
        </w:rPr>
        <w:t xml:space="preserve"> thực hiện các dự án quan trọng, cấp bách của địa phương giai đoạn 2016-2020.</w:t>
      </w:r>
    </w:p>
    <w:p w:rsidR="0001167A" w:rsidRPr="00664027" w:rsidRDefault="0001167A" w:rsidP="00442D9F">
      <w:pPr>
        <w:tabs>
          <w:tab w:val="left" w:pos="709"/>
        </w:tabs>
        <w:spacing w:before="120"/>
        <w:ind w:firstLine="709"/>
        <w:jc w:val="both"/>
        <w:rPr>
          <w:b/>
          <w:lang w:val="nl-NL"/>
        </w:rPr>
      </w:pPr>
      <w:r w:rsidRPr="00664027">
        <w:rPr>
          <w:b/>
          <w:lang w:val="nl-NL"/>
        </w:rPr>
        <w:t xml:space="preserve">II. </w:t>
      </w:r>
      <w:r w:rsidR="008D027B" w:rsidRPr="00664027">
        <w:rPr>
          <w:b/>
          <w:lang w:val="nl-NL"/>
        </w:rPr>
        <w:t>Khả năng cân đối các nguồn vốn đầu tư công</w:t>
      </w:r>
      <w:r w:rsidR="00A60AA0" w:rsidRPr="00664027">
        <w:rPr>
          <w:b/>
          <w:lang w:val="nl-NL"/>
        </w:rPr>
        <w:t xml:space="preserve"> trung hạn giai đoạn 2016-2020</w:t>
      </w:r>
    </w:p>
    <w:p w:rsidR="0010227D" w:rsidRPr="00385CF4" w:rsidRDefault="0010227D" w:rsidP="00442D9F">
      <w:pPr>
        <w:widowControl w:val="0"/>
        <w:spacing w:before="120"/>
        <w:ind w:firstLine="720"/>
        <w:jc w:val="both"/>
        <w:rPr>
          <w:lang w:val="nl-NL"/>
        </w:rPr>
      </w:pPr>
      <w:r w:rsidRPr="00C47E18">
        <w:rPr>
          <w:lang w:val="nl-NL"/>
        </w:rPr>
        <w:t xml:space="preserve">Dự kiến khả năng nguồn vốn đầu tư công trung hạn 5 năm 2016-2020 của </w:t>
      </w:r>
      <w:r w:rsidRPr="00180365">
        <w:rPr>
          <w:lang w:val="nl-NL"/>
        </w:rPr>
        <w:t xml:space="preserve">tỉnh Hà Tĩnh là </w:t>
      </w:r>
      <w:r w:rsidR="00B446C1">
        <w:rPr>
          <w:lang w:val="nl-NL"/>
        </w:rPr>
        <w:t>17</w:t>
      </w:r>
      <w:r w:rsidR="00BA6170">
        <w:rPr>
          <w:lang w:val="nl-NL"/>
        </w:rPr>
        <w:t>.</w:t>
      </w:r>
      <w:r w:rsidR="00654E59">
        <w:rPr>
          <w:lang w:val="nl-NL"/>
        </w:rPr>
        <w:t>884</w:t>
      </w:r>
      <w:r w:rsidR="00BA6170">
        <w:rPr>
          <w:lang w:val="nl-NL"/>
        </w:rPr>
        <w:t>,</w:t>
      </w:r>
      <w:r w:rsidR="00654E59">
        <w:rPr>
          <w:lang w:val="nl-NL"/>
        </w:rPr>
        <w:t>701</w:t>
      </w:r>
      <w:r w:rsidR="00695051" w:rsidRPr="00180365">
        <w:rPr>
          <w:lang w:val="nl-NL"/>
        </w:rPr>
        <w:t xml:space="preserve"> </w:t>
      </w:r>
      <w:r w:rsidRPr="00180365">
        <w:rPr>
          <w:lang w:val="nl-NL"/>
        </w:rPr>
        <w:t>tỷ đồng</w:t>
      </w:r>
      <w:r w:rsidR="00966B92">
        <w:rPr>
          <w:lang w:val="nl-NL"/>
        </w:rPr>
        <w:t xml:space="preserve"> </w:t>
      </w:r>
      <w:r w:rsidR="00337385">
        <w:rPr>
          <w:lang w:val="nl-NL"/>
        </w:rPr>
        <w:t>(</w:t>
      </w:r>
      <w:r w:rsidR="00966B92">
        <w:rPr>
          <w:lang w:val="nl-NL"/>
        </w:rPr>
        <w:t>trong đó</w:t>
      </w:r>
      <w:r w:rsidR="006E07C4">
        <w:rPr>
          <w:lang w:val="nl-NL"/>
        </w:rPr>
        <w:t>:</w:t>
      </w:r>
      <w:r w:rsidR="00966B92">
        <w:rPr>
          <w:lang w:val="nl-NL"/>
        </w:rPr>
        <w:t xml:space="preserve"> dự phòng Trung ương chưa phân </w:t>
      </w:r>
      <w:r w:rsidR="00337385">
        <w:rPr>
          <w:lang w:val="nl-NL"/>
        </w:rPr>
        <w:t>bổ</w:t>
      </w:r>
      <w:r w:rsidR="00966B92">
        <w:rPr>
          <w:lang w:val="nl-NL"/>
        </w:rPr>
        <w:t xml:space="preserve"> là 1.</w:t>
      </w:r>
      <w:r w:rsidR="0048019B">
        <w:rPr>
          <w:lang w:val="nl-NL"/>
        </w:rPr>
        <w:t>624</w:t>
      </w:r>
      <w:r w:rsidR="00966B92">
        <w:rPr>
          <w:lang w:val="nl-NL"/>
        </w:rPr>
        <w:t>,</w:t>
      </w:r>
      <w:r w:rsidR="0048019B">
        <w:rPr>
          <w:lang w:val="nl-NL"/>
        </w:rPr>
        <w:t>817</w:t>
      </w:r>
      <w:r w:rsidR="00966B92">
        <w:rPr>
          <w:lang w:val="nl-NL"/>
        </w:rPr>
        <w:t xml:space="preserve"> tỷ đồng</w:t>
      </w:r>
      <w:r w:rsidR="00337385">
        <w:rPr>
          <w:lang w:val="nl-NL"/>
        </w:rPr>
        <w:t>)</w:t>
      </w:r>
      <w:r w:rsidR="00C20409">
        <w:rPr>
          <w:lang w:val="nl-NL"/>
        </w:rPr>
        <w:t>.</w:t>
      </w:r>
      <w:r w:rsidR="00966B92">
        <w:rPr>
          <w:lang w:val="nl-NL"/>
        </w:rPr>
        <w:t xml:space="preserve"> </w:t>
      </w:r>
      <w:r w:rsidR="00966B92" w:rsidRPr="00385CF4">
        <w:rPr>
          <w:lang w:val="nl-NL"/>
        </w:rPr>
        <w:t>Số đưa vào phân bổ là 1</w:t>
      </w:r>
      <w:r w:rsidR="002A37C7">
        <w:rPr>
          <w:lang w:val="nl-NL"/>
        </w:rPr>
        <w:t>6</w:t>
      </w:r>
      <w:r w:rsidR="00966B92" w:rsidRPr="00385CF4">
        <w:rPr>
          <w:lang w:val="nl-NL"/>
        </w:rPr>
        <w:t>.</w:t>
      </w:r>
      <w:r w:rsidR="002A37C7">
        <w:rPr>
          <w:lang w:val="nl-NL"/>
        </w:rPr>
        <w:t>259</w:t>
      </w:r>
      <w:r w:rsidR="00966B92" w:rsidRPr="00385CF4">
        <w:rPr>
          <w:lang w:val="nl-NL"/>
        </w:rPr>
        <w:t>,</w:t>
      </w:r>
      <w:r w:rsidR="002A37C7">
        <w:rPr>
          <w:lang w:val="nl-NL"/>
        </w:rPr>
        <w:t>884</w:t>
      </w:r>
      <w:r w:rsidR="00966B92" w:rsidRPr="00385CF4">
        <w:rPr>
          <w:lang w:val="nl-NL"/>
        </w:rPr>
        <w:t xml:space="preserve"> tỷ đồng, bao gồm:</w:t>
      </w:r>
    </w:p>
    <w:p w:rsidR="0010227D" w:rsidRPr="00180365" w:rsidRDefault="0071356A" w:rsidP="00442D9F">
      <w:pPr>
        <w:tabs>
          <w:tab w:val="left" w:pos="709"/>
        </w:tabs>
        <w:spacing w:before="120"/>
        <w:ind w:firstLine="720"/>
        <w:jc w:val="both"/>
        <w:rPr>
          <w:lang w:val="nl-NL"/>
        </w:rPr>
      </w:pPr>
      <w:r w:rsidRPr="00180365">
        <w:rPr>
          <w:b/>
          <w:lang w:val="nl-NL"/>
        </w:rPr>
        <w:t>1</w:t>
      </w:r>
      <w:r w:rsidR="0010227D" w:rsidRPr="00180365">
        <w:rPr>
          <w:b/>
          <w:lang w:val="nl-NL"/>
        </w:rPr>
        <w:t>. Nguồn vốn Trung ương</w:t>
      </w:r>
      <w:r w:rsidR="00DE1DC8">
        <w:rPr>
          <w:b/>
          <w:lang w:val="nl-NL"/>
        </w:rPr>
        <w:t xml:space="preserve"> </w:t>
      </w:r>
      <w:r w:rsidR="00DE1DC8">
        <w:rPr>
          <w:lang w:val="nl-NL"/>
        </w:rPr>
        <w:t xml:space="preserve">(đã được giao tại các Quyết định số 572/QĐ-BKHĐT ngày 20/4/2017 và Quyết định số </w:t>
      </w:r>
      <w:r w:rsidR="003450C6">
        <w:rPr>
          <w:lang w:val="nl-NL"/>
        </w:rPr>
        <w:t>1178/QĐ-BKHĐT</w:t>
      </w:r>
      <w:r w:rsidR="00DE1DC8">
        <w:rPr>
          <w:lang w:val="nl-NL"/>
        </w:rPr>
        <w:t xml:space="preserve"> ngày 29/8/2017 của Bộ Kế </w:t>
      </w:r>
      <w:r w:rsidR="00871A80">
        <w:rPr>
          <w:lang w:val="nl-NL"/>
        </w:rPr>
        <w:t>hoạch</w:t>
      </w:r>
      <w:r w:rsidR="00DE1DC8">
        <w:rPr>
          <w:lang w:val="nl-NL"/>
        </w:rPr>
        <w:t xml:space="preserve"> và </w:t>
      </w:r>
      <w:r w:rsidR="00DE1DC8" w:rsidRPr="0008020A">
        <w:rPr>
          <w:lang w:val="nl-NL"/>
        </w:rPr>
        <w:t>Đầu tư)</w:t>
      </w:r>
      <w:r w:rsidR="0010227D" w:rsidRPr="0008020A">
        <w:rPr>
          <w:b/>
          <w:lang w:val="nl-NL"/>
        </w:rPr>
        <w:t xml:space="preserve">: </w:t>
      </w:r>
      <w:r w:rsidR="00ED50E2" w:rsidRPr="0008020A">
        <w:rPr>
          <w:lang w:val="nl-NL"/>
        </w:rPr>
        <w:t>8.352,61</w:t>
      </w:r>
      <w:r w:rsidR="0010227D" w:rsidRPr="0008020A">
        <w:rPr>
          <w:lang w:val="nl-NL"/>
        </w:rPr>
        <w:t xml:space="preserve"> tỷ đồng, bao</w:t>
      </w:r>
      <w:r w:rsidR="0010227D" w:rsidRPr="00180365">
        <w:rPr>
          <w:lang w:val="nl-NL"/>
        </w:rPr>
        <w:t xml:space="preserve"> gồm: </w:t>
      </w:r>
    </w:p>
    <w:p w:rsidR="00777770" w:rsidRDefault="0071356A" w:rsidP="00442D9F">
      <w:pPr>
        <w:tabs>
          <w:tab w:val="left" w:pos="709"/>
        </w:tabs>
        <w:spacing w:before="120"/>
        <w:ind w:firstLine="720"/>
        <w:jc w:val="both"/>
        <w:rPr>
          <w:lang w:val="nl-NL"/>
        </w:rPr>
      </w:pPr>
      <w:r>
        <w:rPr>
          <w:lang w:val="nl-NL"/>
        </w:rPr>
        <w:lastRenderedPageBreak/>
        <w:t>a</w:t>
      </w:r>
      <w:r w:rsidR="00777770">
        <w:rPr>
          <w:lang w:val="nl-NL"/>
        </w:rPr>
        <w:t>.</w:t>
      </w:r>
      <w:r w:rsidR="0010227D" w:rsidRPr="00C47E18">
        <w:rPr>
          <w:lang w:val="nl-NL"/>
        </w:rPr>
        <w:t xml:space="preserve"> Vốn ngân sá</w:t>
      </w:r>
      <w:r w:rsidR="00B014D7">
        <w:rPr>
          <w:lang w:val="nl-NL"/>
        </w:rPr>
        <w:t>ch Trung ương (bao gồm vốn ODA):</w:t>
      </w:r>
      <w:r w:rsidR="0010227D" w:rsidRPr="00C47E18">
        <w:rPr>
          <w:lang w:val="nl-NL"/>
        </w:rPr>
        <w:t xml:space="preserve"> </w:t>
      </w:r>
      <w:r w:rsidR="00322C30">
        <w:rPr>
          <w:lang w:val="nl-NL"/>
        </w:rPr>
        <w:t>7.</w:t>
      </w:r>
      <w:r w:rsidR="00C678A4">
        <w:rPr>
          <w:lang w:val="nl-NL"/>
        </w:rPr>
        <w:t>425</w:t>
      </w:r>
      <w:r w:rsidR="00322C30">
        <w:rPr>
          <w:lang w:val="nl-NL"/>
        </w:rPr>
        <w:t>,</w:t>
      </w:r>
      <w:r w:rsidR="00C678A4">
        <w:rPr>
          <w:lang w:val="nl-NL"/>
        </w:rPr>
        <w:t>61</w:t>
      </w:r>
      <w:r w:rsidR="00430322">
        <w:rPr>
          <w:lang w:val="nl-NL"/>
        </w:rPr>
        <w:t xml:space="preserve"> tỷ đồn</w:t>
      </w:r>
      <w:r w:rsidR="0029567D">
        <w:rPr>
          <w:lang w:val="nl-NL"/>
        </w:rPr>
        <w:t>g</w:t>
      </w:r>
      <w:r w:rsidR="00777770">
        <w:rPr>
          <w:lang w:val="nl-NL"/>
        </w:rPr>
        <w:t>, trong đó:</w:t>
      </w:r>
    </w:p>
    <w:p w:rsidR="00A60889" w:rsidRPr="00A12C96" w:rsidRDefault="00A60889" w:rsidP="00442D9F">
      <w:pPr>
        <w:tabs>
          <w:tab w:val="left" w:pos="709"/>
        </w:tabs>
        <w:spacing w:before="120"/>
        <w:ind w:firstLine="720"/>
        <w:jc w:val="both"/>
        <w:rPr>
          <w:lang w:val="nl-NL"/>
        </w:rPr>
      </w:pPr>
      <w:r w:rsidRPr="00A12C96">
        <w:rPr>
          <w:lang w:val="nl-NL"/>
        </w:rPr>
        <w:t xml:space="preserve">- Hỗ trợ </w:t>
      </w:r>
      <w:r w:rsidR="008B78DE">
        <w:rPr>
          <w:lang w:val="nl-NL"/>
        </w:rPr>
        <w:t>người có công với cách mạng về nhà ở</w:t>
      </w:r>
      <w:r w:rsidRPr="00A12C96">
        <w:rPr>
          <w:lang w:val="nl-NL"/>
        </w:rPr>
        <w:t xml:space="preserve"> theo Quyết định 22/QĐ-TTg của Thủ tướng Chính phủ: 93,6 tỷ đồng. </w:t>
      </w:r>
    </w:p>
    <w:p w:rsidR="00A12C96" w:rsidRPr="00A12C96" w:rsidRDefault="00A12C96" w:rsidP="00442D9F">
      <w:pPr>
        <w:tabs>
          <w:tab w:val="left" w:pos="709"/>
        </w:tabs>
        <w:spacing w:before="120"/>
        <w:ind w:firstLine="720"/>
        <w:jc w:val="both"/>
        <w:rPr>
          <w:lang w:val="nl-NL"/>
        </w:rPr>
      </w:pPr>
      <w:r w:rsidRPr="00A12C96">
        <w:rPr>
          <w:lang w:val="nl-NL"/>
        </w:rPr>
        <w:t>- Vốn đầu tư theo các chương trì</w:t>
      </w:r>
      <w:r w:rsidR="007A313B">
        <w:rPr>
          <w:lang w:val="nl-NL"/>
        </w:rPr>
        <w:t>nh mục tiêu là</w:t>
      </w:r>
      <w:r w:rsidR="006C5D5B">
        <w:rPr>
          <w:lang w:val="nl-NL"/>
        </w:rPr>
        <w:t>:</w:t>
      </w:r>
      <w:r w:rsidR="007A313B">
        <w:rPr>
          <w:lang w:val="nl-NL"/>
        </w:rPr>
        <w:t xml:space="preserve"> 4.462,38 tỷ đồng</w:t>
      </w:r>
      <w:r w:rsidR="007A313B">
        <w:rPr>
          <w:lang w:val="pt-BR"/>
        </w:rPr>
        <w:t>.</w:t>
      </w:r>
    </w:p>
    <w:p w:rsidR="00A60889" w:rsidRPr="00A12C96" w:rsidRDefault="00790087" w:rsidP="00442D9F">
      <w:pPr>
        <w:tabs>
          <w:tab w:val="left" w:pos="709"/>
        </w:tabs>
        <w:spacing w:before="120"/>
        <w:ind w:firstLine="720"/>
        <w:jc w:val="both"/>
        <w:rPr>
          <w:lang w:val="nl-NL"/>
        </w:rPr>
      </w:pPr>
      <w:r>
        <w:rPr>
          <w:lang w:val="nl-NL"/>
        </w:rPr>
        <w:t xml:space="preserve">- </w:t>
      </w:r>
      <w:r w:rsidR="00A60889" w:rsidRPr="00A12C96">
        <w:rPr>
          <w:lang w:val="nl-NL"/>
        </w:rPr>
        <w:t>Vốn chương trình mục tiêu quốc gia: 1.</w:t>
      </w:r>
      <w:r w:rsidR="009E24B9">
        <w:rPr>
          <w:lang w:val="nl-NL"/>
        </w:rPr>
        <w:t>502</w:t>
      </w:r>
      <w:r w:rsidR="00A60889" w:rsidRPr="00A12C96">
        <w:rPr>
          <w:lang w:val="nl-NL"/>
        </w:rPr>
        <w:t>,</w:t>
      </w:r>
      <w:r w:rsidR="009E24B9">
        <w:rPr>
          <w:lang w:val="nl-NL"/>
        </w:rPr>
        <w:t>717</w:t>
      </w:r>
      <w:r w:rsidR="00A60889" w:rsidRPr="00A12C96">
        <w:rPr>
          <w:lang w:val="nl-NL"/>
        </w:rPr>
        <w:t xml:space="preserve"> tỷ đồng, trong đó: Chương trình mục tiêu quốc gia giảm nghèo bền vững </w:t>
      </w:r>
      <w:r w:rsidR="00AC42FC">
        <w:rPr>
          <w:lang w:val="nl-NL"/>
        </w:rPr>
        <w:t>318</w:t>
      </w:r>
      <w:r w:rsidR="00A60889" w:rsidRPr="00A12C96">
        <w:rPr>
          <w:lang w:val="nl-NL"/>
        </w:rPr>
        <w:t>,</w:t>
      </w:r>
      <w:r w:rsidR="00AC42FC">
        <w:rPr>
          <w:lang w:val="nl-NL"/>
        </w:rPr>
        <w:t>497</w:t>
      </w:r>
      <w:r w:rsidR="00A60889" w:rsidRPr="00A12C96">
        <w:rPr>
          <w:lang w:val="nl-NL"/>
        </w:rPr>
        <w:t xml:space="preserve"> tỷ đồng; Chương trình mục tiêu quốc gia xây dựng nông thôn mới 1.</w:t>
      </w:r>
      <w:r w:rsidR="0034030A">
        <w:rPr>
          <w:lang w:val="nl-NL"/>
        </w:rPr>
        <w:t>184</w:t>
      </w:r>
      <w:r w:rsidR="00A60889" w:rsidRPr="00A12C96">
        <w:rPr>
          <w:lang w:val="nl-NL"/>
        </w:rPr>
        <w:t>,</w:t>
      </w:r>
      <w:r w:rsidR="0034030A">
        <w:rPr>
          <w:lang w:val="nl-NL"/>
        </w:rPr>
        <w:t>22</w:t>
      </w:r>
      <w:r w:rsidR="00A60889" w:rsidRPr="00A12C96">
        <w:rPr>
          <w:lang w:val="nl-NL"/>
        </w:rPr>
        <w:t xml:space="preserve"> tỷ đồng.</w:t>
      </w:r>
    </w:p>
    <w:p w:rsidR="00A12C96" w:rsidRPr="00A12C96" w:rsidRDefault="00A12C96" w:rsidP="00442D9F">
      <w:pPr>
        <w:tabs>
          <w:tab w:val="left" w:pos="709"/>
        </w:tabs>
        <w:spacing w:before="120"/>
        <w:ind w:firstLine="720"/>
        <w:jc w:val="both"/>
        <w:rPr>
          <w:lang w:val="nl-NL"/>
        </w:rPr>
      </w:pPr>
      <w:r w:rsidRPr="00A12C96">
        <w:rPr>
          <w:lang w:val="nl-NL"/>
        </w:rPr>
        <w:t>- Vốn nước ngoài (ODA) là</w:t>
      </w:r>
      <w:r w:rsidR="006C5D5B">
        <w:rPr>
          <w:lang w:val="nl-NL"/>
        </w:rPr>
        <w:t>:</w:t>
      </w:r>
      <w:r w:rsidRPr="00A12C96">
        <w:rPr>
          <w:lang w:val="nl-NL"/>
        </w:rPr>
        <w:t xml:space="preserve"> </w:t>
      </w:r>
      <w:r w:rsidR="00237058">
        <w:rPr>
          <w:lang w:val="nl-NL"/>
        </w:rPr>
        <w:t>1.186,</w:t>
      </w:r>
      <w:r w:rsidR="00B33FBA">
        <w:rPr>
          <w:lang w:val="nl-NL"/>
        </w:rPr>
        <w:t>913</w:t>
      </w:r>
      <w:r w:rsidRPr="00A12C96">
        <w:rPr>
          <w:lang w:val="nl-NL"/>
        </w:rPr>
        <w:t xml:space="preserve"> tỷ đồng.</w:t>
      </w:r>
    </w:p>
    <w:p w:rsidR="004F31F7" w:rsidRDefault="0010227D" w:rsidP="00442D9F">
      <w:pPr>
        <w:tabs>
          <w:tab w:val="left" w:pos="709"/>
        </w:tabs>
        <w:spacing w:before="120"/>
        <w:ind w:firstLine="720"/>
        <w:jc w:val="both"/>
        <w:rPr>
          <w:lang w:val="nl-NL"/>
        </w:rPr>
      </w:pPr>
      <w:r w:rsidRPr="00C47E18">
        <w:rPr>
          <w:lang w:val="nl-NL"/>
        </w:rPr>
        <w:t xml:space="preserve"> </w:t>
      </w:r>
      <w:r w:rsidR="0071356A">
        <w:rPr>
          <w:lang w:val="nl-NL"/>
        </w:rPr>
        <w:t>b</w:t>
      </w:r>
      <w:r w:rsidR="00777770">
        <w:rPr>
          <w:lang w:val="nl-NL"/>
        </w:rPr>
        <w:t>.</w:t>
      </w:r>
      <w:r w:rsidR="00036162">
        <w:rPr>
          <w:lang w:val="nl-NL"/>
        </w:rPr>
        <w:t xml:space="preserve"> Vốn Trái phiếu Chính phủ là: </w:t>
      </w:r>
      <w:r w:rsidR="004F31F7">
        <w:rPr>
          <w:lang w:val="nl-NL"/>
        </w:rPr>
        <w:t>927 tỷ đồng, trong đó:</w:t>
      </w:r>
    </w:p>
    <w:p w:rsidR="00E0220B" w:rsidRDefault="004F31F7" w:rsidP="00442D9F">
      <w:pPr>
        <w:tabs>
          <w:tab w:val="left" w:pos="709"/>
        </w:tabs>
        <w:spacing w:before="120"/>
        <w:ind w:firstLine="720"/>
        <w:jc w:val="both"/>
        <w:rPr>
          <w:lang w:val="nl-NL"/>
        </w:rPr>
      </w:pPr>
      <w:r>
        <w:rPr>
          <w:lang w:val="nl-NL"/>
        </w:rPr>
        <w:t>-</w:t>
      </w:r>
      <w:r w:rsidR="00E0220B">
        <w:rPr>
          <w:lang w:val="nl-NL"/>
        </w:rPr>
        <w:t xml:space="preserve"> Dự án đầu tư nâng cấp đường ven biển Xuân Hội </w:t>
      </w:r>
      <w:r w:rsidR="0006200E">
        <w:rPr>
          <w:lang w:val="nl-NL"/>
        </w:rPr>
        <w:t>-</w:t>
      </w:r>
      <w:r w:rsidR="00E0220B">
        <w:rPr>
          <w:lang w:val="nl-NL"/>
        </w:rPr>
        <w:t xml:space="preserve"> Thạch Khê </w:t>
      </w:r>
      <w:r w:rsidR="0006200E">
        <w:rPr>
          <w:lang w:val="nl-NL"/>
        </w:rPr>
        <w:t>-</w:t>
      </w:r>
      <w:r w:rsidR="00E0220B">
        <w:rPr>
          <w:lang w:val="nl-NL"/>
        </w:rPr>
        <w:t xml:space="preserve"> Vũng Áng: </w:t>
      </w:r>
      <w:r>
        <w:rPr>
          <w:lang w:val="nl-NL"/>
        </w:rPr>
        <w:t>765</w:t>
      </w:r>
      <w:r w:rsidR="00E0220B">
        <w:rPr>
          <w:lang w:val="nl-NL"/>
        </w:rPr>
        <w:t xml:space="preserve"> tỷ đồng;</w:t>
      </w:r>
    </w:p>
    <w:p w:rsidR="00E0220B" w:rsidRPr="00C47E18" w:rsidRDefault="004F31F7" w:rsidP="00442D9F">
      <w:pPr>
        <w:tabs>
          <w:tab w:val="left" w:pos="709"/>
        </w:tabs>
        <w:spacing w:before="120"/>
        <w:ind w:firstLine="720"/>
        <w:jc w:val="both"/>
        <w:rPr>
          <w:lang w:val="nl-NL"/>
        </w:rPr>
      </w:pPr>
      <w:r>
        <w:rPr>
          <w:lang w:val="nl-NL"/>
        </w:rPr>
        <w:t>-</w:t>
      </w:r>
      <w:r w:rsidR="00E0220B">
        <w:rPr>
          <w:lang w:val="nl-NL"/>
        </w:rPr>
        <w:t xml:space="preserve"> Chương trình kiên cố hóa trường, lớp học mầm non, tiểu học: </w:t>
      </w:r>
      <w:r w:rsidR="00E7604D">
        <w:rPr>
          <w:lang w:val="nl-NL"/>
        </w:rPr>
        <w:t>162</w:t>
      </w:r>
      <w:r w:rsidR="00E0220B">
        <w:rPr>
          <w:lang w:val="nl-NL"/>
        </w:rPr>
        <w:t xml:space="preserve"> tỷ đồng.</w:t>
      </w:r>
    </w:p>
    <w:p w:rsidR="0010227D" w:rsidRPr="00C47E18" w:rsidRDefault="0071356A" w:rsidP="00442D9F">
      <w:pPr>
        <w:spacing w:before="120"/>
        <w:ind w:firstLine="720"/>
        <w:jc w:val="both"/>
        <w:outlineLvl w:val="0"/>
        <w:rPr>
          <w:b/>
          <w:lang w:val="nl-NL"/>
        </w:rPr>
      </w:pPr>
      <w:r>
        <w:rPr>
          <w:b/>
          <w:lang w:val="nl-NL"/>
        </w:rPr>
        <w:t>2</w:t>
      </w:r>
      <w:r w:rsidR="0010227D" w:rsidRPr="005357C1">
        <w:rPr>
          <w:b/>
          <w:lang w:val="nl-NL"/>
        </w:rPr>
        <w:t xml:space="preserve">. Nguồn vốn Địa phương: </w:t>
      </w:r>
      <w:r w:rsidR="004B43E2">
        <w:rPr>
          <w:bCs/>
          <w:szCs w:val="26"/>
          <w:lang w:val="nl-NL"/>
        </w:rPr>
        <w:t>8.604,023 tỷ đồng</w:t>
      </w:r>
      <w:r w:rsidR="003C3728">
        <w:rPr>
          <w:bCs/>
          <w:szCs w:val="26"/>
          <w:lang w:val="nl-NL"/>
        </w:rPr>
        <w:t xml:space="preserve"> (</w:t>
      </w:r>
      <w:r w:rsidR="00FD7210">
        <w:rPr>
          <w:bCs/>
          <w:szCs w:val="26"/>
          <w:lang w:val="nl-NL"/>
        </w:rPr>
        <w:t>t</w:t>
      </w:r>
      <w:r w:rsidR="004B43E2">
        <w:rPr>
          <w:bCs/>
          <w:szCs w:val="26"/>
          <w:lang w:val="nl-NL"/>
        </w:rPr>
        <w:t xml:space="preserve">rong đó: </w:t>
      </w:r>
      <w:r w:rsidR="003C3728">
        <w:rPr>
          <w:bCs/>
          <w:szCs w:val="26"/>
          <w:lang w:val="nl-NL"/>
        </w:rPr>
        <w:t>d</w:t>
      </w:r>
      <w:r w:rsidR="004B43E2">
        <w:rPr>
          <w:bCs/>
          <w:szCs w:val="26"/>
          <w:lang w:val="nl-NL"/>
        </w:rPr>
        <w:t xml:space="preserve">ự phòng </w:t>
      </w:r>
      <w:r w:rsidR="003C3728">
        <w:rPr>
          <w:bCs/>
          <w:szCs w:val="26"/>
          <w:lang w:val="nl-NL"/>
        </w:rPr>
        <w:t>T</w:t>
      </w:r>
      <w:r w:rsidR="004B43E2">
        <w:rPr>
          <w:bCs/>
          <w:szCs w:val="26"/>
          <w:lang w:val="nl-NL"/>
        </w:rPr>
        <w:t>rung ương chưa phân bổ là 696,479 tỷ đồng</w:t>
      </w:r>
      <w:r w:rsidR="003C3728">
        <w:rPr>
          <w:bCs/>
          <w:szCs w:val="26"/>
          <w:lang w:val="nl-NL"/>
        </w:rPr>
        <w:t>)</w:t>
      </w:r>
      <w:r w:rsidR="004B43E2">
        <w:rPr>
          <w:bCs/>
          <w:szCs w:val="26"/>
          <w:lang w:val="nl-NL"/>
        </w:rPr>
        <w:t>. Số đưa và phân bổ chi tiết là</w:t>
      </w:r>
      <w:r w:rsidR="00831184">
        <w:rPr>
          <w:bCs/>
          <w:szCs w:val="26"/>
          <w:lang w:val="nl-NL"/>
        </w:rPr>
        <w:t xml:space="preserve"> </w:t>
      </w:r>
      <w:r w:rsidR="001F347A">
        <w:rPr>
          <w:lang w:val="nl-NL"/>
        </w:rPr>
        <w:t>7.</w:t>
      </w:r>
      <w:r w:rsidR="003023F2">
        <w:rPr>
          <w:lang w:val="nl-NL"/>
        </w:rPr>
        <w:t>907,274</w:t>
      </w:r>
      <w:r w:rsidR="0010227D" w:rsidRPr="00C47E18">
        <w:rPr>
          <w:lang w:val="nl-NL"/>
        </w:rPr>
        <w:t xml:space="preserve"> tỷ đồng, bao gồm</w:t>
      </w:r>
      <w:r w:rsidR="009F4968">
        <w:rPr>
          <w:lang w:val="nl-NL"/>
        </w:rPr>
        <w:t>:</w:t>
      </w:r>
    </w:p>
    <w:p w:rsidR="004577C0" w:rsidRDefault="0010227D" w:rsidP="00442D9F">
      <w:pPr>
        <w:tabs>
          <w:tab w:val="left" w:pos="709"/>
        </w:tabs>
        <w:spacing w:before="120"/>
        <w:jc w:val="both"/>
        <w:rPr>
          <w:lang w:val="nl-NL"/>
        </w:rPr>
      </w:pPr>
      <w:r w:rsidRPr="00C47E18">
        <w:rPr>
          <w:b/>
          <w:lang w:val="nl-NL"/>
        </w:rPr>
        <w:tab/>
      </w:r>
      <w:r w:rsidR="000218FB">
        <w:rPr>
          <w:lang w:val="nl-NL"/>
        </w:rPr>
        <w:t>-</w:t>
      </w:r>
      <w:r w:rsidRPr="00A73402">
        <w:rPr>
          <w:lang w:val="nl-NL"/>
        </w:rPr>
        <w:t xml:space="preserve"> Nguồn Ngân sách tập trung: </w:t>
      </w:r>
      <w:r w:rsidR="004577C0">
        <w:rPr>
          <w:lang w:val="nl-NL"/>
        </w:rPr>
        <w:t>2.858,267</w:t>
      </w:r>
      <w:r w:rsidRPr="00A73402">
        <w:rPr>
          <w:lang w:val="nl-NL"/>
        </w:rPr>
        <w:t xml:space="preserve"> tỷ đồng</w:t>
      </w:r>
      <w:r w:rsidR="00EE7C43">
        <w:rPr>
          <w:lang w:val="nl-NL"/>
        </w:rPr>
        <w:t>.</w:t>
      </w:r>
    </w:p>
    <w:p w:rsidR="0010227D" w:rsidRPr="00A73402" w:rsidRDefault="0010227D" w:rsidP="00442D9F">
      <w:pPr>
        <w:tabs>
          <w:tab w:val="left" w:pos="709"/>
        </w:tabs>
        <w:spacing w:before="120"/>
        <w:jc w:val="both"/>
        <w:rPr>
          <w:lang w:val="nl-NL"/>
        </w:rPr>
      </w:pPr>
      <w:r w:rsidRPr="00A73402">
        <w:rPr>
          <w:lang w:val="nl-NL"/>
        </w:rPr>
        <w:tab/>
      </w:r>
      <w:r w:rsidR="000218FB">
        <w:rPr>
          <w:lang w:val="nl-NL"/>
        </w:rPr>
        <w:t>-</w:t>
      </w:r>
      <w:r w:rsidRPr="00A73402">
        <w:rPr>
          <w:lang w:val="nl-NL"/>
        </w:rPr>
        <w:t xml:space="preserve"> Tiền thu cấp quyền sử dụng đất: </w:t>
      </w:r>
      <w:r w:rsidR="004577C0">
        <w:rPr>
          <w:lang w:val="nl-NL"/>
        </w:rPr>
        <w:t>4.750</w:t>
      </w:r>
      <w:r w:rsidRPr="00A73402">
        <w:rPr>
          <w:lang w:val="nl-NL"/>
        </w:rPr>
        <w:t xml:space="preserve"> tỷ đồng</w:t>
      </w:r>
      <w:r w:rsidR="0012690C">
        <w:rPr>
          <w:rStyle w:val="FootnoteReference"/>
          <w:lang w:val="nl-NL"/>
        </w:rPr>
        <w:footnoteReference w:id="5"/>
      </w:r>
      <w:r w:rsidR="00EE7C43">
        <w:rPr>
          <w:lang w:val="nl-NL"/>
        </w:rPr>
        <w:t>.</w:t>
      </w:r>
    </w:p>
    <w:p w:rsidR="006F7621" w:rsidRDefault="006F7621" w:rsidP="00442D9F">
      <w:pPr>
        <w:tabs>
          <w:tab w:val="left" w:pos="709"/>
        </w:tabs>
        <w:spacing w:before="120"/>
        <w:jc w:val="both"/>
        <w:rPr>
          <w:lang w:val="nl-NL"/>
        </w:rPr>
      </w:pPr>
      <w:r w:rsidRPr="00A73402">
        <w:rPr>
          <w:lang w:val="nl-NL"/>
        </w:rPr>
        <w:tab/>
      </w:r>
      <w:r w:rsidR="000218FB">
        <w:rPr>
          <w:lang w:val="nl-NL"/>
        </w:rPr>
        <w:t>-</w:t>
      </w:r>
      <w:r w:rsidRPr="00A73402">
        <w:rPr>
          <w:lang w:val="nl-NL"/>
        </w:rPr>
        <w:t xml:space="preserve"> Nguồn t</w:t>
      </w:r>
      <w:r w:rsidR="00FB0609" w:rsidRPr="00A73402">
        <w:rPr>
          <w:lang w:val="nl-NL"/>
        </w:rPr>
        <w:t>hu xổ số kiến thiết:</w:t>
      </w:r>
      <w:r w:rsidR="007B5997" w:rsidRPr="00A73402">
        <w:rPr>
          <w:lang w:val="nl-NL"/>
        </w:rPr>
        <w:t xml:space="preserve"> 37,473 tỷ đồng</w:t>
      </w:r>
      <w:r w:rsidR="000218FB">
        <w:rPr>
          <w:lang w:val="nl-NL"/>
        </w:rPr>
        <w:t>.</w:t>
      </w:r>
    </w:p>
    <w:p w:rsidR="00985074" w:rsidRPr="00A73402" w:rsidRDefault="00985074" w:rsidP="00442D9F">
      <w:pPr>
        <w:tabs>
          <w:tab w:val="left" w:pos="709"/>
        </w:tabs>
        <w:spacing w:before="120"/>
        <w:jc w:val="both"/>
        <w:rPr>
          <w:lang w:val="nl-NL"/>
        </w:rPr>
      </w:pPr>
      <w:r>
        <w:rPr>
          <w:lang w:val="nl-NL"/>
        </w:rPr>
        <w:tab/>
        <w:t xml:space="preserve">- Vốn tín dụng đầu tư phát triển: </w:t>
      </w:r>
      <w:r w:rsidR="00FE3A42">
        <w:rPr>
          <w:lang w:val="nl-NL"/>
        </w:rPr>
        <w:t>2</w:t>
      </w:r>
      <w:r>
        <w:rPr>
          <w:lang w:val="nl-NL"/>
        </w:rPr>
        <w:t>61,534 tỷ đồng</w:t>
      </w:r>
      <w:r w:rsidR="00321289">
        <w:rPr>
          <w:rStyle w:val="FootnoteReference"/>
          <w:lang w:val="nl-NL"/>
        </w:rPr>
        <w:footnoteReference w:id="6"/>
      </w:r>
      <w:r>
        <w:rPr>
          <w:lang w:val="nl-NL"/>
        </w:rPr>
        <w:t>.</w:t>
      </w:r>
    </w:p>
    <w:p w:rsidR="00DC63F4" w:rsidRPr="00B73AEB" w:rsidRDefault="00DC63F4" w:rsidP="00442D9F">
      <w:pPr>
        <w:tabs>
          <w:tab w:val="left" w:pos="709"/>
        </w:tabs>
        <w:spacing w:before="120"/>
        <w:jc w:val="center"/>
        <w:rPr>
          <w:i/>
        </w:rPr>
      </w:pPr>
      <w:r w:rsidRPr="00B73AEB">
        <w:rPr>
          <w:i/>
        </w:rPr>
        <w:t xml:space="preserve">(Chi tiết </w:t>
      </w:r>
      <w:r w:rsidR="000C44D3" w:rsidRPr="00B73AEB">
        <w:rPr>
          <w:i/>
        </w:rPr>
        <w:t>theo</w:t>
      </w:r>
      <w:r w:rsidRPr="00B73AEB">
        <w:rPr>
          <w:i/>
        </w:rPr>
        <w:t xml:space="preserve"> Phụ lục </w:t>
      </w:r>
      <w:r w:rsidR="000C44D3" w:rsidRPr="00B73AEB">
        <w:rPr>
          <w:i/>
        </w:rPr>
        <w:t xml:space="preserve">số </w:t>
      </w:r>
      <w:r w:rsidRPr="00B73AEB">
        <w:rPr>
          <w:i/>
        </w:rPr>
        <w:t xml:space="preserve">01 </w:t>
      </w:r>
      <w:r w:rsidR="000C44D3" w:rsidRPr="00B73AEB">
        <w:rPr>
          <w:i/>
        </w:rPr>
        <w:t>đính kèm</w:t>
      </w:r>
      <w:r w:rsidRPr="00B73AEB">
        <w:rPr>
          <w:i/>
        </w:rPr>
        <w:t>).</w:t>
      </w:r>
    </w:p>
    <w:p w:rsidR="00335B7F" w:rsidRDefault="00335B7F" w:rsidP="00442D9F">
      <w:pPr>
        <w:widowControl w:val="0"/>
        <w:spacing w:before="120"/>
        <w:ind w:firstLine="720"/>
        <w:jc w:val="both"/>
        <w:rPr>
          <w:b/>
          <w:szCs w:val="24"/>
          <w:lang w:val="nl-NL"/>
        </w:rPr>
      </w:pPr>
      <w:r>
        <w:rPr>
          <w:b/>
          <w:szCs w:val="24"/>
          <w:lang w:val="nl-NL"/>
        </w:rPr>
        <w:t>III.</w:t>
      </w:r>
      <w:r w:rsidRPr="00335B7F">
        <w:rPr>
          <w:b/>
          <w:szCs w:val="24"/>
          <w:lang w:val="nl-NL"/>
        </w:rPr>
        <w:t xml:space="preserve"> </w:t>
      </w:r>
      <w:r w:rsidR="00AB22F8">
        <w:rPr>
          <w:b/>
          <w:szCs w:val="24"/>
          <w:lang w:val="nl-NL"/>
        </w:rPr>
        <w:t>Nguyên tắc</w:t>
      </w:r>
      <w:r w:rsidR="00D50D11">
        <w:rPr>
          <w:b/>
          <w:szCs w:val="24"/>
          <w:lang w:val="nl-NL"/>
        </w:rPr>
        <w:t xml:space="preserve"> bố trí vốn</w:t>
      </w:r>
    </w:p>
    <w:p w:rsidR="008F5DBB" w:rsidRPr="008F5DBB" w:rsidRDefault="008F5DBB" w:rsidP="00442D9F">
      <w:pPr>
        <w:spacing w:before="120"/>
        <w:ind w:firstLine="720"/>
        <w:jc w:val="both"/>
        <w:rPr>
          <w:lang w:val="vi-VN"/>
        </w:rPr>
      </w:pPr>
      <w:r w:rsidRPr="008F5DBB">
        <w:rPr>
          <w:lang w:val="vi-VN"/>
        </w:rPr>
        <w:t>Việc phân bổ kế hoạch vốn đầu tư công trung hạn và hằng năm giai đoạn 2016-2020 được thực hiện theo các nguyên tắc</w:t>
      </w:r>
      <w:r w:rsidR="00410B32">
        <w:t xml:space="preserve"> </w:t>
      </w:r>
      <w:r w:rsidR="00A769F6">
        <w:t>sau</w:t>
      </w:r>
      <w:r w:rsidRPr="008F5DBB">
        <w:rPr>
          <w:lang w:val="vi-VN"/>
        </w:rPr>
        <w:t>:</w:t>
      </w:r>
    </w:p>
    <w:p w:rsidR="008F5DBB" w:rsidRPr="008F5DBB" w:rsidRDefault="00E059D5" w:rsidP="00442D9F">
      <w:pPr>
        <w:spacing w:before="120"/>
        <w:ind w:firstLine="720"/>
        <w:jc w:val="both"/>
        <w:rPr>
          <w:lang w:val="vi-VN"/>
        </w:rPr>
      </w:pPr>
      <w:r>
        <w:t>1</w:t>
      </w:r>
      <w:r w:rsidR="008F5DBB" w:rsidRPr="008F5DBB">
        <w:rPr>
          <w:lang w:val="vi-VN"/>
        </w:rPr>
        <w:t xml:space="preserve">. </w:t>
      </w:r>
      <w:r w:rsidR="00A44A24">
        <w:t>T</w:t>
      </w:r>
      <w:r w:rsidR="008F5DBB" w:rsidRPr="008F5DBB">
        <w:rPr>
          <w:lang w:val="vi-VN"/>
        </w:rPr>
        <w:t>uân thủ đúng các quy định của Luật đầu tư công, Luật ngân sách nhà nước, Nghị quyết số 100/NQ-QH13 ngày 12 tháng 11 năm 2015 của Quốc hội về phê duyệt chủ trương đầu tư các Chương trình mục tiêu quốc gia giai đoạn 2016-2020, Nghị quyết số 1023/UBTVQH13 ngày 28 tháng 8 năm 2015 của Ủy ban Thường vụ Quốc hội, Quyết định số 40/2015/QĐ-TTg ngày 14 tháng 9 năm 2015 của Thủ tướng Chính phủ</w:t>
      </w:r>
      <w:r w:rsidR="00C377C4" w:rsidRPr="00C377C4">
        <w:t xml:space="preserve"> </w:t>
      </w:r>
      <w:r w:rsidR="00C377C4">
        <w:t>và Nghị quyết số 14/2016/NQ-HĐND ngày 24/9/2016 của Hội đồng nhân dân tỉnh</w:t>
      </w:r>
      <w:r w:rsidR="00FC1869">
        <w:t xml:space="preserve"> </w:t>
      </w:r>
      <w:r w:rsidR="008F5DBB" w:rsidRPr="008F5DBB">
        <w:rPr>
          <w:lang w:val="vi-VN"/>
        </w:rPr>
        <w:t xml:space="preserve">về nguyên tắc, tiêu chí, định mức phân bổ </w:t>
      </w:r>
      <w:r w:rsidR="008F5DBB" w:rsidRPr="008F5DBB">
        <w:rPr>
          <w:lang w:val="vi-VN"/>
        </w:rPr>
        <w:lastRenderedPageBreak/>
        <w:t>vốn ngân sách nhà nước giai đoạn 2016-2020 và các văn bản pháp luật có liên quan.</w:t>
      </w:r>
    </w:p>
    <w:p w:rsidR="008F5DBB" w:rsidRPr="008F5DBB" w:rsidRDefault="00A247AB" w:rsidP="00442D9F">
      <w:pPr>
        <w:spacing w:before="120"/>
        <w:ind w:firstLine="720"/>
        <w:jc w:val="both"/>
        <w:rPr>
          <w:lang w:val="vi-VN"/>
        </w:rPr>
      </w:pPr>
      <w:r>
        <w:t>2</w:t>
      </w:r>
      <w:r w:rsidR="008F5DBB" w:rsidRPr="008F5DBB">
        <w:rPr>
          <w:lang w:val="vi-VN"/>
        </w:rPr>
        <w:t>. Việc bố trí vốn ngân sách nhà nước trong từng ngành, lĩnh vực, địa phương trong giai đoạn 2016-2020</w:t>
      </w:r>
      <w:r w:rsidR="00DD071C">
        <w:t xml:space="preserve"> đảm bảo</w:t>
      </w:r>
      <w:r w:rsidR="008F5DBB" w:rsidRPr="008F5DBB">
        <w:rPr>
          <w:lang w:val="vi-VN"/>
        </w:rPr>
        <w:t xml:space="preserve"> theo thứ tự ưu tiên như sau:</w:t>
      </w:r>
    </w:p>
    <w:p w:rsidR="008F5DBB" w:rsidRPr="008F5DBB" w:rsidRDefault="008F5DBB" w:rsidP="00442D9F">
      <w:pPr>
        <w:spacing w:before="120"/>
        <w:ind w:firstLine="720"/>
        <w:jc w:val="both"/>
        <w:rPr>
          <w:lang w:val="vi-VN"/>
        </w:rPr>
      </w:pPr>
      <w:r w:rsidRPr="008F5DBB">
        <w:rPr>
          <w:lang w:val="vi-VN"/>
        </w:rPr>
        <w:t>a) Ưu tiên bố trí vốn cho các dự án đã hoàn thành và bàn giao đưa vào sử dụng (ưu tiên cho các dự án đã có quyết định phê duyệt quyết toán) nhưng chưa bố trí đủ vốn; các dự án dự kiến hoàn thành trong kỳ kế hoạch; vốn đối ứng cho dự án sử dụng vốn ODA và vốn vay ưu đãi của các nhà tài trợ nước ngoài; vốn đầu tư của Nhà nước tham gia thực hiện dự án theo hình thức đối tác công tư;</w:t>
      </w:r>
    </w:p>
    <w:p w:rsidR="008F5DBB" w:rsidRPr="008F5DBB" w:rsidRDefault="008F5DBB" w:rsidP="00442D9F">
      <w:pPr>
        <w:spacing w:before="120"/>
        <w:ind w:firstLine="720"/>
        <w:jc w:val="both"/>
        <w:rPr>
          <w:lang w:val="vi-VN"/>
        </w:rPr>
      </w:pPr>
      <w:r w:rsidRPr="008F5DBB">
        <w:rPr>
          <w:lang w:val="vi-VN"/>
        </w:rPr>
        <w:t>b) Các dự án chuyển tiếp bố trí theo tiến độ được phê duyệt, trong đó ưu tiên tập trung bố trí vốn để hoàn thành và đẩy nhanh tiến độ thực hiện các dự án trọng điểm có ý nghĩa lớn đối với phát triển kinh tế - xã hội của tỉnh, của các cấp, các ngành và các địa phương;</w:t>
      </w:r>
    </w:p>
    <w:p w:rsidR="008F5DBB" w:rsidRPr="007E1796" w:rsidRDefault="008F5DBB" w:rsidP="00442D9F">
      <w:pPr>
        <w:spacing w:before="120"/>
        <w:ind w:firstLine="720"/>
        <w:jc w:val="both"/>
      </w:pPr>
      <w:r w:rsidRPr="008F5DBB">
        <w:rPr>
          <w:lang w:val="vi-VN"/>
        </w:rPr>
        <w:t>c) Sau khi bố trí cho các nội dung nói trên, số vốn còn lại (nếu có) mới được bố trí cho các dự án khởi công mới đáp ứng yêu cầu quy định tại khoản 5 Điều 54 của Luật đầu tư công, Nghị định số 77/2015/NĐ-CP ngày 10 tháng 9 năm 2015 của Chính phủ về kế hoạch đầu tư công trung hạn và hằng năm, Nghị định số 136/2015/NĐ-CP ngày 31 tháng 12 năm 2015 của Chính phủ hướng dẫn thi hành một số điều của Luật đầu tư công</w:t>
      </w:r>
      <w:r w:rsidR="007370B6">
        <w:t>.</w:t>
      </w:r>
      <w:r w:rsidR="007E1796">
        <w:t xml:space="preserve"> Trong đó, ưu tiên </w:t>
      </w:r>
      <w:r w:rsidR="009230F7">
        <w:t>bù đắp phần còn thiếu cho các dự án khởi công mới sử dụng vốn NSTW, vốn tín dụng đầu tư phát triển</w:t>
      </w:r>
      <w:r w:rsidR="00D76C2A">
        <w:t xml:space="preserve"> giai đoạn 2016-2020</w:t>
      </w:r>
      <w:r w:rsidR="004E3037">
        <w:t>.</w:t>
      </w:r>
    </w:p>
    <w:p w:rsidR="0048204B" w:rsidRPr="0048204B" w:rsidRDefault="00774808" w:rsidP="00442D9F">
      <w:pPr>
        <w:spacing w:before="120"/>
        <w:ind w:firstLine="720"/>
        <w:jc w:val="both"/>
        <w:rPr>
          <w:lang w:val="vi-VN"/>
        </w:rPr>
      </w:pPr>
      <w:r>
        <w:t>3</w:t>
      </w:r>
      <w:r w:rsidR="0048204B" w:rsidRPr="0048204B">
        <w:rPr>
          <w:lang w:val="vi-VN"/>
        </w:rPr>
        <w:t>. Đối với nguồn vốn n</w:t>
      </w:r>
      <w:r w:rsidR="0048204B" w:rsidRPr="0048204B">
        <w:rPr>
          <w:rFonts w:hint="eastAsia"/>
          <w:lang w:val="vi-VN"/>
        </w:rPr>
        <w:t>ư</w:t>
      </w:r>
      <w:r w:rsidR="0048204B" w:rsidRPr="0048204B">
        <w:rPr>
          <w:lang w:val="vi-VN"/>
        </w:rPr>
        <w:t xml:space="preserve">ớc ngoài (ODA và vốn vay </w:t>
      </w:r>
      <w:r w:rsidR="0048204B" w:rsidRPr="0048204B">
        <w:rPr>
          <w:rFonts w:hint="eastAsia"/>
          <w:lang w:val="vi-VN"/>
        </w:rPr>
        <w:t>ư</w:t>
      </w:r>
      <w:r w:rsidR="0048204B" w:rsidRPr="0048204B">
        <w:rPr>
          <w:lang w:val="vi-VN"/>
        </w:rPr>
        <w:t xml:space="preserve">u </w:t>
      </w:r>
      <w:r w:rsidR="0048204B" w:rsidRPr="0048204B">
        <w:rPr>
          <w:rFonts w:hint="eastAsia"/>
          <w:lang w:val="vi-VN"/>
        </w:rPr>
        <w:t>đã</w:t>
      </w:r>
      <w:r w:rsidR="0048204B" w:rsidRPr="0048204B">
        <w:rPr>
          <w:lang w:val="vi-VN"/>
        </w:rPr>
        <w:t>i của các nhà tài trợ n</w:t>
      </w:r>
      <w:r w:rsidR="0048204B" w:rsidRPr="0048204B">
        <w:rPr>
          <w:rFonts w:hint="eastAsia"/>
          <w:lang w:val="vi-VN"/>
        </w:rPr>
        <w:t>ư</w:t>
      </w:r>
      <w:r w:rsidR="0048204B" w:rsidRPr="0048204B">
        <w:rPr>
          <w:lang w:val="vi-VN"/>
        </w:rPr>
        <w:t xml:space="preserve">ớc ngoài): </w:t>
      </w:r>
    </w:p>
    <w:p w:rsidR="0048204B" w:rsidRPr="0048204B" w:rsidRDefault="0048204B" w:rsidP="00442D9F">
      <w:pPr>
        <w:spacing w:before="120"/>
        <w:ind w:firstLine="720"/>
        <w:jc w:val="both"/>
        <w:rPr>
          <w:lang w:val="vi-VN"/>
        </w:rPr>
      </w:pPr>
      <w:r w:rsidRPr="0048204B">
        <w:rPr>
          <w:lang w:val="vi-VN"/>
        </w:rPr>
        <w:t xml:space="preserve">- Bố trí </w:t>
      </w:r>
      <w:r w:rsidRPr="0048204B">
        <w:rPr>
          <w:rFonts w:hint="eastAsia"/>
          <w:lang w:val="vi-VN"/>
        </w:rPr>
        <w:t>đ</w:t>
      </w:r>
      <w:r w:rsidRPr="0048204B">
        <w:rPr>
          <w:lang w:val="vi-VN"/>
        </w:rPr>
        <w:t>ủ kế hoạch vốn n</w:t>
      </w:r>
      <w:r w:rsidRPr="0048204B">
        <w:rPr>
          <w:rFonts w:hint="eastAsia"/>
          <w:lang w:val="vi-VN"/>
        </w:rPr>
        <w:t>ư</w:t>
      </w:r>
      <w:r w:rsidRPr="0048204B">
        <w:rPr>
          <w:lang w:val="vi-VN"/>
        </w:rPr>
        <w:t>ớc ngoài cho các dự án theo khả n</w:t>
      </w:r>
      <w:r w:rsidRPr="0048204B">
        <w:rPr>
          <w:rFonts w:hint="eastAsia"/>
          <w:lang w:val="vi-VN"/>
        </w:rPr>
        <w:t>ă</w:t>
      </w:r>
      <w:r w:rsidRPr="0048204B">
        <w:rPr>
          <w:lang w:val="vi-VN"/>
        </w:rPr>
        <w:t xml:space="preserve">ng thực hiện và giải ngân </w:t>
      </w:r>
      <w:r w:rsidRPr="0048204B">
        <w:rPr>
          <w:rFonts w:hint="eastAsia"/>
          <w:lang w:val="vi-VN"/>
        </w:rPr>
        <w:t>đ</w:t>
      </w:r>
      <w:r w:rsidRPr="0048204B">
        <w:rPr>
          <w:lang w:val="vi-VN"/>
        </w:rPr>
        <w:t xml:space="preserve">ối với số vốn ngân sách trung </w:t>
      </w:r>
      <w:r w:rsidRPr="0048204B">
        <w:rPr>
          <w:rFonts w:hint="eastAsia"/>
          <w:lang w:val="vi-VN"/>
        </w:rPr>
        <w:t>ươ</w:t>
      </w:r>
      <w:r w:rsidRPr="0048204B">
        <w:rPr>
          <w:lang w:val="vi-VN"/>
        </w:rPr>
        <w:t xml:space="preserve">ng </w:t>
      </w:r>
      <w:r w:rsidRPr="0048204B">
        <w:rPr>
          <w:rFonts w:hint="eastAsia"/>
          <w:lang w:val="vi-VN"/>
        </w:rPr>
        <w:t>đã</w:t>
      </w:r>
      <w:r w:rsidRPr="0048204B">
        <w:rPr>
          <w:lang w:val="vi-VN"/>
        </w:rPr>
        <w:t xml:space="preserve"> ký kết Hiệp </w:t>
      </w:r>
      <w:r w:rsidRPr="0048204B">
        <w:rPr>
          <w:rFonts w:hint="eastAsia"/>
          <w:lang w:val="vi-VN"/>
        </w:rPr>
        <w:t>đ</w:t>
      </w:r>
      <w:r w:rsidRPr="0048204B">
        <w:rPr>
          <w:lang w:val="vi-VN"/>
        </w:rPr>
        <w:t xml:space="preserve">ịnh của từng dự án trong giai </w:t>
      </w:r>
      <w:r w:rsidRPr="0048204B">
        <w:rPr>
          <w:rFonts w:hint="eastAsia"/>
          <w:lang w:val="vi-VN"/>
        </w:rPr>
        <w:t>đ</w:t>
      </w:r>
      <w:r w:rsidRPr="0048204B">
        <w:rPr>
          <w:lang w:val="vi-VN"/>
        </w:rPr>
        <w:t>oạn 2016-2020. Mức vốn kế hoạch trung hạn bố trí cho từng dự án không v</w:t>
      </w:r>
      <w:r w:rsidRPr="0048204B">
        <w:rPr>
          <w:rFonts w:hint="eastAsia"/>
          <w:lang w:val="vi-VN"/>
        </w:rPr>
        <w:t>ư</w:t>
      </w:r>
      <w:r w:rsidRPr="0048204B">
        <w:rPr>
          <w:lang w:val="vi-VN"/>
        </w:rPr>
        <w:t>ợt quá số vốn n</w:t>
      </w:r>
      <w:r w:rsidRPr="0048204B">
        <w:rPr>
          <w:rFonts w:hint="eastAsia"/>
          <w:lang w:val="vi-VN"/>
        </w:rPr>
        <w:t>ư</w:t>
      </w:r>
      <w:r w:rsidRPr="0048204B">
        <w:rPr>
          <w:lang w:val="vi-VN"/>
        </w:rPr>
        <w:t xml:space="preserve">ớc ngoài </w:t>
      </w:r>
      <w:r w:rsidRPr="0048204B">
        <w:rPr>
          <w:rFonts w:hint="eastAsia"/>
          <w:lang w:val="vi-VN"/>
        </w:rPr>
        <w:t>đư</w:t>
      </w:r>
      <w:r w:rsidRPr="0048204B">
        <w:rPr>
          <w:lang w:val="vi-VN"/>
        </w:rPr>
        <w:t xml:space="preserve">ợc cấp có thẩm quyền phê duyệt. </w:t>
      </w:r>
    </w:p>
    <w:p w:rsidR="0048204B" w:rsidRPr="0048204B" w:rsidRDefault="0048204B" w:rsidP="00442D9F">
      <w:pPr>
        <w:spacing w:before="120"/>
        <w:ind w:firstLine="720"/>
        <w:jc w:val="both"/>
        <w:rPr>
          <w:lang w:val="vi-VN"/>
        </w:rPr>
      </w:pPr>
      <w:r w:rsidRPr="0048204B">
        <w:rPr>
          <w:lang w:val="vi-VN"/>
        </w:rPr>
        <w:t xml:space="preserve">- Không bố trí kế hoạch trung hạn giai </w:t>
      </w:r>
      <w:r w:rsidRPr="0048204B">
        <w:rPr>
          <w:rFonts w:hint="eastAsia"/>
          <w:lang w:val="vi-VN"/>
        </w:rPr>
        <w:t>đ</w:t>
      </w:r>
      <w:r w:rsidRPr="0048204B">
        <w:rPr>
          <w:lang w:val="vi-VN"/>
        </w:rPr>
        <w:t>oạn 2016-2020 cho các dự án: Đến ngày 30/9/2016 ch</w:t>
      </w:r>
      <w:r w:rsidRPr="0048204B">
        <w:rPr>
          <w:rFonts w:hint="eastAsia"/>
          <w:lang w:val="vi-VN"/>
        </w:rPr>
        <w:t>ư</w:t>
      </w:r>
      <w:r w:rsidRPr="0048204B">
        <w:rPr>
          <w:lang w:val="vi-VN"/>
        </w:rPr>
        <w:t xml:space="preserve">a ký kết Hiệp </w:t>
      </w:r>
      <w:r w:rsidRPr="0048204B">
        <w:rPr>
          <w:rFonts w:hint="eastAsia"/>
          <w:lang w:val="vi-VN"/>
        </w:rPr>
        <w:t>đ</w:t>
      </w:r>
      <w:r w:rsidRPr="0048204B">
        <w:rPr>
          <w:lang w:val="vi-VN"/>
        </w:rPr>
        <w:t xml:space="preserve">ịnh với các nhà tài trợ; không thuộc </w:t>
      </w:r>
      <w:r w:rsidRPr="0048204B">
        <w:rPr>
          <w:rFonts w:hint="eastAsia"/>
          <w:lang w:val="vi-VN"/>
        </w:rPr>
        <w:t>đ</w:t>
      </w:r>
      <w:r w:rsidRPr="0048204B">
        <w:rPr>
          <w:lang w:val="vi-VN"/>
        </w:rPr>
        <w:t>ối t</w:t>
      </w:r>
      <w:r w:rsidRPr="0048204B">
        <w:rPr>
          <w:rFonts w:hint="eastAsia"/>
          <w:lang w:val="vi-VN"/>
        </w:rPr>
        <w:t>ư</w:t>
      </w:r>
      <w:r w:rsidRPr="0048204B">
        <w:rPr>
          <w:lang w:val="vi-VN"/>
        </w:rPr>
        <w:t xml:space="preserve">ợng </w:t>
      </w:r>
      <w:r w:rsidRPr="0048204B">
        <w:rPr>
          <w:rFonts w:hint="eastAsia"/>
          <w:lang w:val="vi-VN"/>
        </w:rPr>
        <w:t>đ</w:t>
      </w:r>
      <w:r w:rsidRPr="0048204B">
        <w:rPr>
          <w:lang w:val="vi-VN"/>
        </w:rPr>
        <w:t>ầu t</w:t>
      </w:r>
      <w:r w:rsidRPr="0048204B">
        <w:rPr>
          <w:rFonts w:hint="eastAsia"/>
          <w:lang w:val="vi-VN"/>
        </w:rPr>
        <w:t>ư</w:t>
      </w:r>
      <w:r w:rsidRPr="0048204B">
        <w:rPr>
          <w:lang w:val="vi-VN"/>
        </w:rPr>
        <w:t xml:space="preserve"> vốn n</w:t>
      </w:r>
      <w:r w:rsidRPr="0048204B">
        <w:rPr>
          <w:rFonts w:hint="eastAsia"/>
          <w:lang w:val="vi-VN"/>
        </w:rPr>
        <w:t>ư</w:t>
      </w:r>
      <w:r w:rsidRPr="0048204B">
        <w:rPr>
          <w:lang w:val="vi-VN"/>
        </w:rPr>
        <w:t xml:space="preserve">ớc ngoài nguồn ngân sách Trung </w:t>
      </w:r>
      <w:r w:rsidRPr="0048204B">
        <w:rPr>
          <w:rFonts w:hint="eastAsia"/>
          <w:lang w:val="vi-VN"/>
        </w:rPr>
        <w:t>ươ</w:t>
      </w:r>
      <w:r w:rsidRPr="0048204B">
        <w:rPr>
          <w:lang w:val="vi-VN"/>
        </w:rPr>
        <w:t>ng</w:t>
      </w:r>
      <w:r w:rsidR="00340495">
        <w:t xml:space="preserve"> và Địa phương</w:t>
      </w:r>
      <w:r w:rsidRPr="0048204B">
        <w:rPr>
          <w:lang w:val="vi-VN"/>
        </w:rPr>
        <w:t xml:space="preserve">. </w:t>
      </w:r>
    </w:p>
    <w:p w:rsidR="008F5DBB" w:rsidRPr="008F5DBB" w:rsidRDefault="00162D7A" w:rsidP="00442D9F">
      <w:pPr>
        <w:spacing w:before="120"/>
        <w:ind w:firstLine="720"/>
        <w:jc w:val="both"/>
        <w:rPr>
          <w:lang w:val="vi-VN"/>
        </w:rPr>
      </w:pPr>
      <w:r>
        <w:t>4</w:t>
      </w:r>
      <w:r w:rsidR="008F5DBB" w:rsidRPr="008F5DBB">
        <w:rPr>
          <w:lang w:val="vi-VN"/>
        </w:rPr>
        <w:t>. Các cấp, các ngành phải quán triệt và thực hiện nghiêm các quy định của Luật đầu tư công, không để phát sinh thêm nợ đọng xây dựng cơ bản. Chỉ bố trí vốn kế hoạch đầu tư công để thanh toán nợ đọng xây dựng cơ bản phát sinh trước ngày Luật đầu tư công có hiệu lực.</w:t>
      </w:r>
    </w:p>
    <w:p w:rsidR="008F5DBB" w:rsidRPr="008F5DBB" w:rsidRDefault="003C55AC" w:rsidP="00442D9F">
      <w:pPr>
        <w:spacing w:before="120"/>
        <w:ind w:firstLine="720"/>
        <w:jc w:val="both"/>
        <w:rPr>
          <w:lang w:val="vi-VN"/>
        </w:rPr>
      </w:pPr>
      <w:r>
        <w:t>5</w:t>
      </w:r>
      <w:r w:rsidR="008F5DBB" w:rsidRPr="008F5DBB">
        <w:rPr>
          <w:lang w:val="vi-VN"/>
        </w:rPr>
        <w:t>. Trong tổng số vốn kế hoạch đầu tư công giai đoạn 2016-2020, đối với từng nguồn vốn, dành lại dự phòng 10% tổng mức vốn kế hoạch đầu tư trung hạn để xử lý các vấn đề phát sinh trong quá trình thực hiện kế hoạch đầu tư trung hạn (quy định tại khoản 6 Điều 54 của Luật đầu tư công và Điều 7 của Nghị định số 77/2015/NĐ-CP)</w:t>
      </w:r>
      <w:r w:rsidR="00E43B34">
        <w:t xml:space="preserve">. </w:t>
      </w:r>
    </w:p>
    <w:p w:rsidR="008F5DBB" w:rsidRPr="008F5DBB" w:rsidRDefault="00BE3A84" w:rsidP="00442D9F">
      <w:pPr>
        <w:spacing w:before="120"/>
        <w:ind w:firstLine="720"/>
        <w:jc w:val="both"/>
        <w:rPr>
          <w:lang w:val="vi-VN"/>
        </w:rPr>
      </w:pPr>
      <w:r>
        <w:lastRenderedPageBreak/>
        <w:t>6</w:t>
      </w:r>
      <w:r w:rsidR="008F5DBB" w:rsidRPr="008F5DBB">
        <w:rPr>
          <w:lang w:val="vi-VN"/>
        </w:rPr>
        <w:t>. Việc phân cấp quản lý, thực hiện phân bổ nguồn vốn cho các cấp ngân sách, trước mắt chưa giao cân đối cho các huyện, thị xã, thành phố chủ động quyết định phân bổ mà để thực hiện những công trình, dự án do cấp huyện, cấp xã quản lý nhưng do tỉnh quyết định đầu tư. Việc phân cấp nguồn vốn phải được thực hiện theo lộ trình gắn với phân cấp quản lý đầu tư và quản lý nhà nước về loại và cấp công trình.</w:t>
      </w:r>
    </w:p>
    <w:p w:rsidR="00B67206" w:rsidRPr="00B00629" w:rsidRDefault="00B67206" w:rsidP="00442D9F">
      <w:pPr>
        <w:spacing w:before="120"/>
        <w:ind w:firstLine="720"/>
        <w:jc w:val="both"/>
        <w:rPr>
          <w:b/>
          <w:lang w:val="en-GB"/>
        </w:rPr>
      </w:pPr>
      <w:r w:rsidRPr="00B00629">
        <w:rPr>
          <w:b/>
          <w:lang w:val="en-GB"/>
        </w:rPr>
        <w:t xml:space="preserve">IV. </w:t>
      </w:r>
      <w:r w:rsidR="000665AD" w:rsidRPr="00B00629">
        <w:rPr>
          <w:b/>
          <w:lang w:val="en-GB"/>
        </w:rPr>
        <w:t>Dự kiến p</w:t>
      </w:r>
      <w:r w:rsidRPr="00B00629">
        <w:rPr>
          <w:b/>
          <w:lang w:val="en-GB"/>
        </w:rPr>
        <w:t xml:space="preserve">hương </w:t>
      </w:r>
      <w:proofErr w:type="gramStart"/>
      <w:r w:rsidRPr="00B00629">
        <w:rPr>
          <w:b/>
          <w:lang w:val="en-GB"/>
        </w:rPr>
        <w:t>án</w:t>
      </w:r>
      <w:proofErr w:type="gramEnd"/>
      <w:r w:rsidRPr="00B00629">
        <w:rPr>
          <w:b/>
          <w:lang w:val="en-GB"/>
        </w:rPr>
        <w:t xml:space="preserve"> phân bổ</w:t>
      </w:r>
      <w:r w:rsidR="00446B80" w:rsidRPr="00B00629">
        <w:rPr>
          <w:b/>
          <w:lang w:val="en-GB"/>
        </w:rPr>
        <w:t xml:space="preserve"> kế hoạch vốn đầu tư công</w:t>
      </w:r>
      <w:r w:rsidR="001A1D3E" w:rsidRPr="00B00629">
        <w:rPr>
          <w:b/>
          <w:lang w:val="en-GB"/>
        </w:rPr>
        <w:t xml:space="preserve"> trung hạn</w:t>
      </w:r>
      <w:r w:rsidR="00446B80" w:rsidRPr="00B00629">
        <w:rPr>
          <w:b/>
          <w:lang w:val="en-GB"/>
        </w:rPr>
        <w:t xml:space="preserve"> giai đoạn 2016-2020</w:t>
      </w:r>
    </w:p>
    <w:p w:rsidR="00A9732B" w:rsidRDefault="00A9732B" w:rsidP="00442D9F">
      <w:pPr>
        <w:spacing w:before="120"/>
        <w:ind w:firstLine="720"/>
        <w:jc w:val="both"/>
        <w:rPr>
          <w:b/>
          <w:lang w:val="en-GB"/>
        </w:rPr>
      </w:pPr>
      <w:r>
        <w:rPr>
          <w:b/>
          <w:lang w:val="en-GB"/>
        </w:rPr>
        <w:t>1. Nguồn vốn Trung ương</w:t>
      </w:r>
      <w:r w:rsidR="002F2D52">
        <w:rPr>
          <w:b/>
          <w:lang w:val="en-GB"/>
        </w:rPr>
        <w:t>:</w:t>
      </w:r>
    </w:p>
    <w:p w:rsidR="00AC078D" w:rsidRDefault="00AC078D" w:rsidP="00442D9F">
      <w:pPr>
        <w:spacing w:before="120"/>
        <w:ind w:firstLine="720"/>
        <w:jc w:val="both"/>
        <w:outlineLvl w:val="0"/>
        <w:rPr>
          <w:lang w:val="nl-NL"/>
        </w:rPr>
      </w:pPr>
      <w:r w:rsidRPr="00AB07C9">
        <w:rPr>
          <w:lang w:val="nl-NL"/>
        </w:rPr>
        <w:t xml:space="preserve">Để đảm bảo thời gian đăng ký </w:t>
      </w:r>
      <w:r w:rsidR="002755F3" w:rsidRPr="00AB07C9">
        <w:rPr>
          <w:lang w:val="nl-NL"/>
        </w:rPr>
        <w:t xml:space="preserve">và xây dựng kế hoạch vốn </w:t>
      </w:r>
      <w:r w:rsidR="00B31EBF">
        <w:rPr>
          <w:lang w:val="nl-NL"/>
        </w:rPr>
        <w:t>Ngân sách t</w:t>
      </w:r>
      <w:r w:rsidR="002755F3" w:rsidRPr="00AB07C9">
        <w:rPr>
          <w:lang w:val="nl-NL"/>
        </w:rPr>
        <w:t>rung ương</w:t>
      </w:r>
      <w:r w:rsidR="00B31EBF">
        <w:rPr>
          <w:lang w:val="nl-NL"/>
        </w:rPr>
        <w:t>, trái phiếu Chính phủ</w:t>
      </w:r>
      <w:r w:rsidR="0094018F" w:rsidRPr="00AB07C9">
        <w:rPr>
          <w:lang w:val="nl-NL"/>
        </w:rPr>
        <w:t xml:space="preserve"> </w:t>
      </w:r>
      <w:r w:rsidR="006C5BC8" w:rsidRPr="00AB07C9">
        <w:rPr>
          <w:lang w:val="nl-NL"/>
        </w:rPr>
        <w:t xml:space="preserve">theo </w:t>
      </w:r>
      <w:r w:rsidR="0094018F" w:rsidRPr="00AB07C9">
        <w:rPr>
          <w:lang w:val="nl-NL"/>
        </w:rPr>
        <w:t>quy định</w:t>
      </w:r>
      <w:r w:rsidR="002755F3" w:rsidRPr="00AB07C9">
        <w:rPr>
          <w:lang w:val="nl-NL"/>
        </w:rPr>
        <w:t xml:space="preserve"> của Chính phủ</w:t>
      </w:r>
      <w:r w:rsidR="0094018F" w:rsidRPr="00AB07C9">
        <w:rPr>
          <w:lang w:val="nl-NL"/>
        </w:rPr>
        <w:t xml:space="preserve"> và hướng dẫn</w:t>
      </w:r>
      <w:r w:rsidR="005078FB" w:rsidRPr="00AB07C9">
        <w:rPr>
          <w:lang w:val="nl-NL"/>
        </w:rPr>
        <w:t xml:space="preserve"> của</w:t>
      </w:r>
      <w:r w:rsidR="002755F3" w:rsidRPr="00AB07C9">
        <w:rPr>
          <w:lang w:val="nl-NL"/>
        </w:rPr>
        <w:t xml:space="preserve"> Bộ Kế hoạch và Đầu tư</w:t>
      </w:r>
      <w:r w:rsidR="00BF2515" w:rsidRPr="00AB07C9">
        <w:rPr>
          <w:rStyle w:val="FootnoteReference"/>
          <w:lang w:val="nl-NL"/>
        </w:rPr>
        <w:footnoteReference w:id="7"/>
      </w:r>
      <w:r w:rsidR="00011056" w:rsidRPr="00AB07C9">
        <w:rPr>
          <w:lang w:val="nl-NL"/>
        </w:rPr>
        <w:t>;</w:t>
      </w:r>
      <w:r w:rsidR="004164D3">
        <w:rPr>
          <w:lang w:val="nl-NL"/>
        </w:rPr>
        <w:t xml:space="preserve"> </w:t>
      </w:r>
      <w:r w:rsidRPr="00AB07C9">
        <w:rPr>
          <w:lang w:val="nl-NL"/>
        </w:rPr>
        <w:t>được sự thống nhất của</w:t>
      </w:r>
      <w:r w:rsidR="00322D9A">
        <w:rPr>
          <w:lang w:val="nl-NL"/>
        </w:rPr>
        <w:t xml:space="preserve"> Ban Thường vụ Tỉnh ủy và</w:t>
      </w:r>
      <w:r w:rsidRPr="00AB07C9">
        <w:rPr>
          <w:lang w:val="nl-NL"/>
        </w:rPr>
        <w:t xml:space="preserve"> Thường trực Hội đồng nhân dân tỉnh, Ủy ban nhân dân tỉnh đã</w:t>
      </w:r>
      <w:r w:rsidR="00B00629">
        <w:rPr>
          <w:lang w:val="nl-NL"/>
        </w:rPr>
        <w:t xml:space="preserve"> chỉ đạo các đơn vị, địa phương liên quan</w:t>
      </w:r>
      <w:r w:rsidRPr="00AB07C9">
        <w:rPr>
          <w:lang w:val="nl-NL"/>
        </w:rPr>
        <w:t xml:space="preserve"> </w:t>
      </w:r>
      <w:r w:rsidR="00895AE0">
        <w:rPr>
          <w:lang w:val="nl-NL"/>
        </w:rPr>
        <w:t>xây dựng và hoàn chỉnh kế hoạch đầu tư trung hạn giai đoạn 2016-2020 vốn ngân sách trung ương và trái phiếu Chính phủ</w:t>
      </w:r>
      <w:r w:rsidR="00364C72">
        <w:rPr>
          <w:lang w:val="nl-NL"/>
        </w:rPr>
        <w:t xml:space="preserve"> trình Bộ Kế hoạch và Đầu tư, Bộ Tài chính theo quy định.</w:t>
      </w:r>
    </w:p>
    <w:p w:rsidR="0075633A" w:rsidRPr="00AB07C9" w:rsidRDefault="00FE36A3" w:rsidP="00442D9F">
      <w:pPr>
        <w:spacing w:before="120"/>
        <w:ind w:firstLine="720"/>
        <w:jc w:val="both"/>
        <w:outlineLvl w:val="0"/>
        <w:rPr>
          <w:lang w:val="nl-NL"/>
        </w:rPr>
      </w:pPr>
      <w:r>
        <w:rPr>
          <w:lang w:val="nl-NL"/>
        </w:rPr>
        <w:t xml:space="preserve">Hiện tại, </w:t>
      </w:r>
      <w:r w:rsidR="00083A1D">
        <w:rPr>
          <w:lang w:val="nl-NL"/>
        </w:rPr>
        <w:t xml:space="preserve">kế hoạch đầu tư trung hạn vốn ngân sách Trung ương, trái phiếu Chính phủ giai đoạn 2016-2020 của tỉnh </w:t>
      </w:r>
      <w:r w:rsidR="00530237">
        <w:rPr>
          <w:lang w:val="nl-NL"/>
        </w:rPr>
        <w:t xml:space="preserve">đã được </w:t>
      </w:r>
      <w:r>
        <w:rPr>
          <w:lang w:val="nl-NL"/>
        </w:rPr>
        <w:t>Thủ tướng Chính phủ, Bộ Kế hoạch và Đầu tư đã giao chi tiết để triển khai thực hiện</w:t>
      </w:r>
      <w:r w:rsidR="00CD6A29">
        <w:rPr>
          <w:lang w:val="nl-NL"/>
        </w:rPr>
        <w:t xml:space="preserve"> </w:t>
      </w:r>
      <w:r w:rsidR="00F855AC">
        <w:rPr>
          <w:lang w:val="nl-NL"/>
        </w:rPr>
        <w:t>(</w:t>
      </w:r>
      <w:r w:rsidR="00F855AC">
        <w:t>t</w:t>
      </w:r>
      <w:r w:rsidR="00F855AC" w:rsidRPr="00507097">
        <w:t xml:space="preserve">ại các Quyết định số 572/QĐ-BKHĐT ngày 20/4/2017 và Quyết định số </w:t>
      </w:r>
      <w:r w:rsidR="003450C6">
        <w:t>1178/QĐ-BKHĐT</w:t>
      </w:r>
      <w:r w:rsidR="00F855AC" w:rsidRPr="00507097">
        <w:t xml:space="preserve"> ngày 29/8/2017 của Bộ Kế hoạch và Đầu tư</w:t>
      </w:r>
      <w:r w:rsidR="00F855AC">
        <w:rPr>
          <w:lang w:val="nl-NL"/>
        </w:rPr>
        <w:t>)</w:t>
      </w:r>
      <w:r w:rsidR="00150E00">
        <w:rPr>
          <w:rStyle w:val="FootnoteReference"/>
          <w:lang w:val="nl-NL"/>
        </w:rPr>
        <w:footnoteReference w:id="8"/>
      </w:r>
      <w:r w:rsidR="00DC5AEF">
        <w:rPr>
          <w:lang w:val="nl-NL"/>
        </w:rPr>
        <w:t>.</w:t>
      </w:r>
    </w:p>
    <w:p w:rsidR="00446B80" w:rsidRPr="00363860" w:rsidRDefault="00446B80" w:rsidP="00442D9F">
      <w:pPr>
        <w:tabs>
          <w:tab w:val="left" w:pos="709"/>
        </w:tabs>
        <w:spacing w:before="120"/>
        <w:ind w:firstLine="720"/>
        <w:jc w:val="both"/>
        <w:rPr>
          <w:b/>
          <w:lang w:val="nl-NL"/>
        </w:rPr>
      </w:pPr>
      <w:r w:rsidRPr="00363860">
        <w:rPr>
          <w:b/>
          <w:lang w:val="nl-NL"/>
        </w:rPr>
        <w:t xml:space="preserve">II. Nguồn vốn </w:t>
      </w:r>
      <w:r w:rsidR="00442D9F">
        <w:rPr>
          <w:b/>
          <w:lang w:val="nl-NL"/>
        </w:rPr>
        <w:t>đ</w:t>
      </w:r>
      <w:r w:rsidRPr="00363860">
        <w:rPr>
          <w:b/>
          <w:lang w:val="nl-NL"/>
        </w:rPr>
        <w:t>ịa phương</w:t>
      </w:r>
    </w:p>
    <w:p w:rsidR="00446B80" w:rsidRDefault="00446B80" w:rsidP="00442D9F">
      <w:pPr>
        <w:tabs>
          <w:tab w:val="left" w:pos="709"/>
        </w:tabs>
        <w:spacing w:before="120"/>
        <w:ind w:firstLine="720"/>
        <w:jc w:val="both"/>
        <w:rPr>
          <w:lang w:val="nl-NL"/>
        </w:rPr>
      </w:pPr>
      <w:r w:rsidRPr="00C47E18">
        <w:rPr>
          <w:lang w:val="nl-NL"/>
        </w:rPr>
        <w:t>Việc phân bổ các nguồn vốn ngân sách địa phương được thực hiện theo các nguyên tắc, tiêu chí và định mức phân bổ vốn đầu tư</w:t>
      </w:r>
      <w:r w:rsidR="004252DE">
        <w:rPr>
          <w:lang w:val="nl-NL"/>
        </w:rPr>
        <w:t xml:space="preserve"> phát triển bằng nguồn vốn đầu tư</w:t>
      </w:r>
      <w:r w:rsidRPr="00C47E18">
        <w:rPr>
          <w:lang w:val="nl-NL"/>
        </w:rPr>
        <w:t xml:space="preserve"> </w:t>
      </w:r>
      <w:r w:rsidR="004252DE">
        <w:rPr>
          <w:lang w:val="nl-NL"/>
        </w:rPr>
        <w:t>công</w:t>
      </w:r>
      <w:r w:rsidRPr="00C47E18">
        <w:rPr>
          <w:lang w:val="nl-NL"/>
        </w:rPr>
        <w:t xml:space="preserve"> giai đoạn 2016-2020</w:t>
      </w:r>
      <w:r w:rsidR="004252DE">
        <w:rPr>
          <w:lang w:val="nl-NL"/>
        </w:rPr>
        <w:t xml:space="preserve"> quy định tại Nghị quyết số 14/2016/NQ-HĐND ngày 24/9/2016 của Hội đồng nhân dân tỉnh</w:t>
      </w:r>
      <w:r w:rsidRPr="00C47E18">
        <w:rPr>
          <w:lang w:val="nl-NL"/>
        </w:rPr>
        <w:t xml:space="preserve">. </w:t>
      </w:r>
    </w:p>
    <w:p w:rsidR="00446B80" w:rsidRPr="00C47E18" w:rsidRDefault="00446B80" w:rsidP="00442D9F">
      <w:pPr>
        <w:tabs>
          <w:tab w:val="left" w:pos="709"/>
        </w:tabs>
        <w:spacing w:before="120"/>
        <w:ind w:firstLine="720"/>
        <w:jc w:val="both"/>
        <w:rPr>
          <w:lang w:val="nl-NL"/>
        </w:rPr>
      </w:pPr>
      <w:r w:rsidRPr="00C47E18">
        <w:rPr>
          <w:lang w:val="nl-NL"/>
        </w:rPr>
        <w:t xml:space="preserve">Tổng nguồn vốn địa phương giai đoạn 2016-2020 là: </w:t>
      </w:r>
      <w:r w:rsidR="00852B75">
        <w:rPr>
          <w:lang w:val="nl-NL"/>
        </w:rPr>
        <w:t>7</w:t>
      </w:r>
      <w:r w:rsidR="00591701">
        <w:rPr>
          <w:lang w:val="nl-NL"/>
        </w:rPr>
        <w:t>.</w:t>
      </w:r>
      <w:r w:rsidR="00852B75">
        <w:rPr>
          <w:lang w:val="nl-NL"/>
        </w:rPr>
        <w:t>645,74</w:t>
      </w:r>
      <w:r w:rsidRPr="00C47E18">
        <w:rPr>
          <w:lang w:val="nl-NL"/>
        </w:rPr>
        <w:t xml:space="preserve"> tỷ đồng, dự kiến bố trí theo các nguồn vốn như sau:</w:t>
      </w:r>
    </w:p>
    <w:p w:rsidR="00446B80" w:rsidRDefault="004750BA" w:rsidP="00442D9F">
      <w:pPr>
        <w:spacing w:before="120"/>
        <w:ind w:firstLine="720"/>
        <w:jc w:val="both"/>
        <w:rPr>
          <w:lang w:val="nl-NL"/>
        </w:rPr>
      </w:pPr>
      <w:r>
        <w:rPr>
          <w:lang w:val="nl-NL"/>
        </w:rPr>
        <w:t>1. Nguồn thu tiền sử dụng đất:</w:t>
      </w:r>
      <w:r w:rsidR="00446B80" w:rsidRPr="00C47E18">
        <w:rPr>
          <w:lang w:val="nl-NL"/>
        </w:rPr>
        <w:t xml:space="preserve"> </w:t>
      </w:r>
      <w:r w:rsidR="00835A00">
        <w:rPr>
          <w:lang w:val="nl-NL"/>
        </w:rPr>
        <w:t>4.750</w:t>
      </w:r>
      <w:r w:rsidR="003A3103">
        <w:rPr>
          <w:lang w:val="nl-NL"/>
        </w:rPr>
        <w:t xml:space="preserve"> tỷ đồng</w:t>
      </w:r>
      <w:r>
        <w:rPr>
          <w:lang w:val="nl-NL"/>
        </w:rPr>
        <w:t>, phân bổ như sau:</w:t>
      </w:r>
    </w:p>
    <w:p w:rsidR="0082237A" w:rsidRDefault="00127E4E" w:rsidP="00442D9F">
      <w:pPr>
        <w:spacing w:before="120"/>
        <w:ind w:firstLine="720"/>
        <w:jc w:val="both"/>
        <w:rPr>
          <w:lang w:val="nl-NL"/>
        </w:rPr>
      </w:pPr>
      <w:r>
        <w:rPr>
          <w:lang w:val="nl-NL"/>
        </w:rPr>
        <w:t>1.1</w:t>
      </w:r>
      <w:r w:rsidR="00B96084">
        <w:rPr>
          <w:lang w:val="nl-NL"/>
        </w:rPr>
        <w:t xml:space="preserve">. </w:t>
      </w:r>
      <w:r w:rsidR="00C81B00" w:rsidRPr="00C47E18">
        <w:rPr>
          <w:lang w:val="nl-NL"/>
        </w:rPr>
        <w:t>Kế hoạch năm 2016</w:t>
      </w:r>
      <w:r w:rsidR="00C81B00">
        <w:rPr>
          <w:lang w:val="nl-NL"/>
        </w:rPr>
        <w:t xml:space="preserve"> và 2017</w:t>
      </w:r>
      <w:r w:rsidR="00C81B00" w:rsidRPr="00C47E18">
        <w:rPr>
          <w:lang w:val="nl-NL"/>
        </w:rPr>
        <w:t xml:space="preserve"> đã phân bổ</w:t>
      </w:r>
      <w:r w:rsidR="00C81B00">
        <w:rPr>
          <w:lang w:val="nl-NL"/>
        </w:rPr>
        <w:t xml:space="preserve">: </w:t>
      </w:r>
      <w:r w:rsidR="0082237A">
        <w:rPr>
          <w:lang w:val="nl-NL"/>
        </w:rPr>
        <w:t>1.750</w:t>
      </w:r>
      <w:r w:rsidR="00C81B00">
        <w:rPr>
          <w:lang w:val="nl-NL"/>
        </w:rPr>
        <w:t xml:space="preserve"> tỷ đồng</w:t>
      </w:r>
      <w:r w:rsidR="00C81B00">
        <w:rPr>
          <w:rStyle w:val="FootnoteReference"/>
          <w:lang w:val="nl-NL"/>
        </w:rPr>
        <w:footnoteReference w:id="9"/>
      </w:r>
      <w:r w:rsidR="00C81B00">
        <w:rPr>
          <w:lang w:val="nl-NL"/>
        </w:rPr>
        <w:t xml:space="preserve">. </w:t>
      </w:r>
    </w:p>
    <w:p w:rsidR="004750BA" w:rsidRDefault="00127E4E" w:rsidP="00442D9F">
      <w:pPr>
        <w:spacing w:before="120"/>
        <w:ind w:firstLine="720"/>
        <w:jc w:val="both"/>
        <w:rPr>
          <w:lang w:val="nl-NL"/>
        </w:rPr>
      </w:pPr>
      <w:r>
        <w:rPr>
          <w:lang w:val="nl-NL"/>
        </w:rPr>
        <w:t>1.2</w:t>
      </w:r>
      <w:r w:rsidR="00F27DD5">
        <w:rPr>
          <w:lang w:val="nl-NL"/>
        </w:rPr>
        <w:t xml:space="preserve">. </w:t>
      </w:r>
      <w:r w:rsidR="003D0B1A" w:rsidRPr="00C47E18">
        <w:rPr>
          <w:lang w:val="nl-NL"/>
        </w:rPr>
        <w:t>Kế hoạch vốn giai đoạn 201</w:t>
      </w:r>
      <w:r w:rsidR="003D0B1A">
        <w:rPr>
          <w:lang w:val="nl-NL"/>
        </w:rPr>
        <w:t>8</w:t>
      </w:r>
      <w:r w:rsidR="003D0B1A" w:rsidRPr="00C47E18">
        <w:rPr>
          <w:lang w:val="nl-NL"/>
        </w:rPr>
        <w:t xml:space="preserve">-2020 còn lại là </w:t>
      </w:r>
      <w:r w:rsidR="0046790F">
        <w:rPr>
          <w:lang w:val="nl-NL"/>
        </w:rPr>
        <w:t>3.000</w:t>
      </w:r>
      <w:r w:rsidR="003D0B1A">
        <w:rPr>
          <w:lang w:val="nl-NL"/>
        </w:rPr>
        <w:t xml:space="preserve"> tỷ đồng (bình quân mỗi năm </w:t>
      </w:r>
      <w:r w:rsidR="00BE079A">
        <w:rPr>
          <w:lang w:val="nl-NL"/>
        </w:rPr>
        <w:t>dự kiến 1.000</w:t>
      </w:r>
      <w:r w:rsidR="003D0B1A">
        <w:rPr>
          <w:lang w:val="nl-NL"/>
        </w:rPr>
        <w:t xml:space="preserve"> tỷ đồng)</w:t>
      </w:r>
      <w:r w:rsidR="003D0B1A" w:rsidRPr="00C47E18">
        <w:rPr>
          <w:lang w:val="nl-NL"/>
        </w:rPr>
        <w:t>, phân bổ như sau</w:t>
      </w:r>
      <w:r w:rsidR="002727E7">
        <w:rPr>
          <w:lang w:val="nl-NL"/>
        </w:rPr>
        <w:t>:</w:t>
      </w:r>
    </w:p>
    <w:p w:rsidR="00A112D6" w:rsidRDefault="00104EF7" w:rsidP="00442D9F">
      <w:pPr>
        <w:spacing w:before="120"/>
        <w:ind w:firstLine="720"/>
        <w:jc w:val="both"/>
        <w:rPr>
          <w:lang w:val="nl-NL"/>
        </w:rPr>
      </w:pPr>
      <w:r>
        <w:rPr>
          <w:lang w:val="nl-NL"/>
        </w:rPr>
        <w:t xml:space="preserve">(a). </w:t>
      </w:r>
      <w:r w:rsidR="00BB4C5F">
        <w:rPr>
          <w:lang w:val="nl-NL"/>
        </w:rPr>
        <w:t>Ngân sách huyện, xã</w:t>
      </w:r>
      <w:r w:rsidR="00440F84">
        <w:rPr>
          <w:lang w:val="nl-NL"/>
        </w:rPr>
        <w:t xml:space="preserve"> hưởng theo phân cấp</w:t>
      </w:r>
      <w:r w:rsidR="00BB4C5F">
        <w:rPr>
          <w:lang w:val="nl-NL"/>
        </w:rPr>
        <w:t>: 2.250 tỷ đồng</w:t>
      </w:r>
    </w:p>
    <w:p w:rsidR="00BB4C5F" w:rsidRDefault="00BB4C5F" w:rsidP="00442D9F">
      <w:pPr>
        <w:spacing w:before="120"/>
        <w:ind w:firstLine="720"/>
        <w:jc w:val="both"/>
        <w:rPr>
          <w:lang w:val="nl-NL"/>
        </w:rPr>
      </w:pPr>
      <w:r>
        <w:rPr>
          <w:lang w:val="nl-NL"/>
        </w:rPr>
        <w:lastRenderedPageBreak/>
        <w:t>(b). Ngân sách tỉnh</w:t>
      </w:r>
      <w:r w:rsidR="00440F84">
        <w:rPr>
          <w:lang w:val="nl-NL"/>
        </w:rPr>
        <w:t xml:space="preserve"> hưởng</w:t>
      </w:r>
      <w:r>
        <w:rPr>
          <w:lang w:val="nl-NL"/>
        </w:rPr>
        <w:t xml:space="preserve">: 750 tỷ đồng (bình quân mỗi năm </w:t>
      </w:r>
      <w:r w:rsidR="003474CB">
        <w:rPr>
          <w:lang w:val="nl-NL"/>
        </w:rPr>
        <w:t xml:space="preserve">dự kiến </w:t>
      </w:r>
      <w:r>
        <w:rPr>
          <w:lang w:val="nl-NL"/>
        </w:rPr>
        <w:t>250 tỷ đồng), phân bổ như sau:</w:t>
      </w:r>
    </w:p>
    <w:p w:rsidR="00224984" w:rsidRDefault="00224984" w:rsidP="00442D9F">
      <w:pPr>
        <w:spacing w:before="120"/>
        <w:ind w:firstLine="720"/>
        <w:jc w:val="both"/>
        <w:rPr>
          <w:lang w:val="nl-NL"/>
        </w:rPr>
      </w:pPr>
      <w:r>
        <w:rPr>
          <w:lang w:val="nl-NL"/>
        </w:rPr>
        <w:t xml:space="preserve">- Chương trình MTQG xây dựng nông thôn mới: </w:t>
      </w:r>
      <w:r w:rsidR="00981C73">
        <w:rPr>
          <w:lang w:val="nl-NL"/>
        </w:rPr>
        <w:t>200</w:t>
      </w:r>
      <w:r>
        <w:rPr>
          <w:lang w:val="nl-NL"/>
        </w:rPr>
        <w:t xml:space="preserve"> tỷ đồng;</w:t>
      </w:r>
    </w:p>
    <w:p w:rsidR="00447980" w:rsidRDefault="00447980" w:rsidP="00442D9F">
      <w:pPr>
        <w:spacing w:before="120"/>
        <w:ind w:firstLine="720"/>
        <w:jc w:val="both"/>
        <w:rPr>
          <w:lang w:val="nl-NL"/>
        </w:rPr>
      </w:pPr>
      <w:r>
        <w:rPr>
          <w:lang w:val="nl-NL"/>
        </w:rPr>
        <w:t xml:space="preserve">- </w:t>
      </w:r>
      <w:r w:rsidRPr="00C2235C">
        <w:rPr>
          <w:lang w:val="nl-NL"/>
        </w:rPr>
        <w:t>Hỗ trợ chi phí giải phóng mặt bằng các dự án</w:t>
      </w:r>
      <w:r>
        <w:rPr>
          <w:lang w:val="nl-NL"/>
        </w:rPr>
        <w:t>: 50 tỷ đồng;</w:t>
      </w:r>
    </w:p>
    <w:p w:rsidR="00261125" w:rsidRDefault="00261125" w:rsidP="00442D9F">
      <w:pPr>
        <w:spacing w:before="120"/>
        <w:ind w:firstLine="720"/>
        <w:jc w:val="both"/>
        <w:rPr>
          <w:lang w:val="nl-NL"/>
        </w:rPr>
      </w:pPr>
      <w:r>
        <w:rPr>
          <w:lang w:val="nl-NL"/>
        </w:rPr>
        <w:t xml:space="preserve">- </w:t>
      </w:r>
      <w:r w:rsidR="00FC6938" w:rsidRPr="00FC6938">
        <w:rPr>
          <w:lang w:val="nl-NL"/>
        </w:rPr>
        <w:t>Đối ứng kinh phí đo vẽ bản đồ địa chính, cấp GCNQSD đất và xây dựng cơ sở dữ liệu quản lý đất đai; xây dựng hệ thống thông tin TNMT; điều tra, đánh giá phân hạng đất; kinh phí định giá đất; đo mới, chỉnh lý bản đồ đị</w:t>
      </w:r>
      <w:r w:rsidR="00FC6938">
        <w:rPr>
          <w:lang w:val="nl-NL"/>
        </w:rPr>
        <w:t xml:space="preserve">a chính; quy hoạch sử dụng đất,..: </w:t>
      </w:r>
      <w:r w:rsidR="007A660A">
        <w:rPr>
          <w:lang w:val="nl-NL"/>
        </w:rPr>
        <w:t>80 tỷ đồng;</w:t>
      </w:r>
    </w:p>
    <w:p w:rsidR="00F22FDA" w:rsidRDefault="00F22FDA" w:rsidP="00442D9F">
      <w:pPr>
        <w:spacing w:before="120"/>
        <w:ind w:firstLine="720"/>
        <w:jc w:val="both"/>
        <w:rPr>
          <w:lang w:val="nl-NL"/>
        </w:rPr>
      </w:pPr>
      <w:r>
        <w:rPr>
          <w:lang w:val="nl-NL"/>
        </w:rPr>
        <w:t xml:space="preserve">- </w:t>
      </w:r>
      <w:r w:rsidR="00B517D3">
        <w:rPr>
          <w:lang w:val="nl-NL"/>
        </w:rPr>
        <w:t>Bố trí</w:t>
      </w:r>
      <w:r w:rsidR="0029100E">
        <w:rPr>
          <w:lang w:val="nl-NL"/>
        </w:rPr>
        <w:t xml:space="preserve"> các dự án quan trọng, cấp bách</w:t>
      </w:r>
      <w:r w:rsidR="007D0FFC">
        <w:rPr>
          <w:lang w:val="nl-NL"/>
        </w:rPr>
        <w:t xml:space="preserve"> khác</w:t>
      </w:r>
      <w:r w:rsidR="0029100E">
        <w:rPr>
          <w:lang w:val="nl-NL"/>
        </w:rPr>
        <w:t xml:space="preserve"> của địa phương</w:t>
      </w:r>
      <w:r>
        <w:rPr>
          <w:lang w:val="nl-NL"/>
        </w:rPr>
        <w:t xml:space="preserve">: </w:t>
      </w:r>
      <w:r w:rsidR="00F573AE">
        <w:rPr>
          <w:lang w:val="nl-NL"/>
        </w:rPr>
        <w:t>420</w:t>
      </w:r>
      <w:r w:rsidR="00E53D17">
        <w:rPr>
          <w:lang w:val="nl-NL"/>
        </w:rPr>
        <w:t xml:space="preserve"> tỷ đồng</w:t>
      </w:r>
      <w:r w:rsidR="00DC2D5C">
        <w:rPr>
          <w:lang w:val="nl-NL"/>
        </w:rPr>
        <w:t xml:space="preserve">. Trong đó, ưu tiên bố trí dự án Trung tâm Y tế huyện Kỳ Anh với số tiền </w:t>
      </w:r>
      <w:r w:rsidR="00C45B0E">
        <w:rPr>
          <w:lang w:val="nl-NL"/>
        </w:rPr>
        <w:t>65</w:t>
      </w:r>
      <w:r w:rsidR="00DC2D5C">
        <w:rPr>
          <w:lang w:val="nl-NL"/>
        </w:rPr>
        <w:t xml:space="preserve"> tỷ </w:t>
      </w:r>
      <w:r w:rsidR="00DC2D5C" w:rsidRPr="00F0665D">
        <w:rPr>
          <w:lang w:val="nl-NL"/>
        </w:rPr>
        <w:t>đồng</w:t>
      </w:r>
      <w:r w:rsidR="00DC2D5C" w:rsidRPr="00F0665D">
        <w:rPr>
          <w:rStyle w:val="FootnoteReference"/>
          <w:lang w:val="nl-NL"/>
        </w:rPr>
        <w:footnoteReference w:id="10"/>
      </w:r>
      <w:r w:rsidR="00976540" w:rsidRPr="00F0665D">
        <w:rPr>
          <w:lang w:val="nl-NL"/>
        </w:rPr>
        <w:t xml:space="preserve"> </w:t>
      </w:r>
      <w:r w:rsidR="001C1BA6" w:rsidRPr="00F0665D">
        <w:rPr>
          <w:i/>
          <w:lang w:val="nl-NL"/>
        </w:rPr>
        <w:t xml:space="preserve">(chi tiết </w:t>
      </w:r>
      <w:r w:rsidR="00550F78" w:rsidRPr="00F0665D">
        <w:rPr>
          <w:i/>
          <w:lang w:val="nl-NL"/>
        </w:rPr>
        <w:t>Danh mục dự án sử dụng nguồn thu tiền sử dụng đ</w:t>
      </w:r>
      <w:r w:rsidR="006E5B26" w:rsidRPr="00F0665D">
        <w:rPr>
          <w:i/>
          <w:lang w:val="nl-NL"/>
        </w:rPr>
        <w:t>ấ</w:t>
      </w:r>
      <w:r w:rsidR="00550F78" w:rsidRPr="00F0665D">
        <w:rPr>
          <w:i/>
          <w:lang w:val="nl-NL"/>
        </w:rPr>
        <w:t>t</w:t>
      </w:r>
      <w:r w:rsidR="006E5B26" w:rsidRPr="00F0665D">
        <w:rPr>
          <w:i/>
          <w:lang w:val="nl-NL"/>
        </w:rPr>
        <w:t xml:space="preserve"> giai đoạn 2018-2020</w:t>
      </w:r>
      <w:r w:rsidR="00550F78" w:rsidRPr="00F0665D">
        <w:rPr>
          <w:i/>
          <w:lang w:val="nl-NL"/>
        </w:rPr>
        <w:t xml:space="preserve"> theo</w:t>
      </w:r>
      <w:r w:rsidR="001C1BA6" w:rsidRPr="00F0665D">
        <w:rPr>
          <w:i/>
          <w:lang w:val="nl-NL"/>
        </w:rPr>
        <w:t xml:space="preserve"> Phụ lục số 0</w:t>
      </w:r>
      <w:r w:rsidR="002B46D9" w:rsidRPr="00F0665D">
        <w:rPr>
          <w:i/>
          <w:lang w:val="nl-NL"/>
        </w:rPr>
        <w:t>2</w:t>
      </w:r>
      <w:r w:rsidR="001C1BA6" w:rsidRPr="00F0665D">
        <w:rPr>
          <w:i/>
          <w:lang w:val="nl-NL"/>
        </w:rPr>
        <w:t xml:space="preserve"> đính kèm)</w:t>
      </w:r>
      <w:r w:rsidR="00D67F58" w:rsidRPr="00F0665D">
        <w:rPr>
          <w:lang w:val="nl-NL"/>
        </w:rPr>
        <w:t>.</w:t>
      </w:r>
    </w:p>
    <w:p w:rsidR="00C84B58" w:rsidRDefault="00C84B58" w:rsidP="00442D9F">
      <w:pPr>
        <w:spacing w:before="120"/>
        <w:ind w:firstLine="720"/>
        <w:jc w:val="both"/>
        <w:rPr>
          <w:i/>
          <w:lang w:val="nl-NL"/>
        </w:rPr>
      </w:pPr>
      <w:r>
        <w:rPr>
          <w:i/>
          <w:lang w:val="nl-NL"/>
        </w:rPr>
        <w:t xml:space="preserve">Phương án dự kiến tiền thu tiền sử dụng đất nêu trên được xây dựng trên cơ sở bình quân số thu được hưởng trong các năm từ 2015-2017; Ủy ban nhân dân </w:t>
      </w:r>
      <w:r w:rsidR="00ED44CB">
        <w:rPr>
          <w:i/>
          <w:lang w:val="nl-NL"/>
        </w:rPr>
        <w:t>tỉnh sẽ trình HĐND tỉnh quyết định phương án triển khai</w:t>
      </w:r>
      <w:r w:rsidR="00744305">
        <w:rPr>
          <w:i/>
          <w:lang w:val="nl-NL"/>
        </w:rPr>
        <w:t xml:space="preserve"> cụ thể</w:t>
      </w:r>
      <w:r w:rsidR="00ED44CB">
        <w:rPr>
          <w:i/>
          <w:lang w:val="nl-NL"/>
        </w:rPr>
        <w:t xml:space="preserve"> trong kế hoạch đầu tư phát triển hằng năm</w:t>
      </w:r>
      <w:r w:rsidR="00520F65">
        <w:rPr>
          <w:i/>
          <w:lang w:val="nl-NL"/>
        </w:rPr>
        <w:t>,</w:t>
      </w:r>
      <w:r w:rsidR="00D25585">
        <w:rPr>
          <w:i/>
          <w:lang w:val="nl-NL"/>
        </w:rPr>
        <w:t xml:space="preserve"> </w:t>
      </w:r>
      <w:r w:rsidR="0018334E">
        <w:rPr>
          <w:i/>
          <w:lang w:val="nl-NL"/>
        </w:rPr>
        <w:t xml:space="preserve">phù hợp với danh mục dự án được HĐND tỉnh thông qua. </w:t>
      </w:r>
      <w:r w:rsidR="000E77E2">
        <w:rPr>
          <w:i/>
          <w:lang w:val="nl-NL"/>
        </w:rPr>
        <w:t xml:space="preserve">Trường hợp </w:t>
      </w:r>
      <w:r w:rsidR="001369BD">
        <w:rPr>
          <w:i/>
          <w:lang w:val="nl-NL"/>
        </w:rPr>
        <w:t xml:space="preserve">nguồn thu thực tế cao hơn kế hoạch, </w:t>
      </w:r>
      <w:r w:rsidR="00FB4823">
        <w:rPr>
          <w:i/>
          <w:lang w:val="nl-NL"/>
        </w:rPr>
        <w:t xml:space="preserve">đề nghị cho phép UBND tỉnh </w:t>
      </w:r>
      <w:r w:rsidR="00503076">
        <w:rPr>
          <w:i/>
          <w:lang w:val="nl-NL"/>
        </w:rPr>
        <w:t>trình</w:t>
      </w:r>
      <w:r w:rsidR="00FB4823">
        <w:rPr>
          <w:i/>
          <w:lang w:val="nl-NL"/>
        </w:rPr>
        <w:t xml:space="preserve"> Thường trực Hội đồng nhân dân tỉnh thống nhất</w:t>
      </w:r>
      <w:r w:rsidR="00730D7C">
        <w:rPr>
          <w:i/>
          <w:lang w:val="nl-NL"/>
        </w:rPr>
        <w:t xml:space="preserve"> </w:t>
      </w:r>
      <w:r w:rsidR="0026523F">
        <w:rPr>
          <w:i/>
          <w:lang w:val="nl-NL"/>
        </w:rPr>
        <w:t xml:space="preserve">phân bổ </w:t>
      </w:r>
      <w:r w:rsidR="0060613F">
        <w:rPr>
          <w:i/>
          <w:lang w:val="nl-NL"/>
        </w:rPr>
        <w:t>cho các nhiệm vụ chi đầu tư phát triển khác theo quy định</w:t>
      </w:r>
      <w:r w:rsidR="00FB4823">
        <w:rPr>
          <w:i/>
          <w:lang w:val="nl-NL"/>
        </w:rPr>
        <w:t xml:space="preserve"> và báo cáo HĐND tỉnh tại kỳ họp gần nhất.</w:t>
      </w:r>
    </w:p>
    <w:p w:rsidR="00E158FA" w:rsidRDefault="00446B80" w:rsidP="00442D9F">
      <w:pPr>
        <w:spacing w:before="120"/>
        <w:ind w:firstLine="720"/>
        <w:jc w:val="both"/>
        <w:rPr>
          <w:lang w:val="nl-NL"/>
        </w:rPr>
      </w:pPr>
      <w:r w:rsidRPr="00C47E18">
        <w:rPr>
          <w:lang w:val="nl-NL"/>
        </w:rPr>
        <w:t>2. Ngân sách tậ</w:t>
      </w:r>
      <w:r w:rsidR="00E158FA">
        <w:rPr>
          <w:lang w:val="nl-NL"/>
        </w:rPr>
        <w:t>p trung: 2.</w:t>
      </w:r>
      <w:r w:rsidR="00C4777F">
        <w:rPr>
          <w:lang w:val="nl-NL"/>
        </w:rPr>
        <w:t>858,267, dự kiến phân bổ như sau:</w:t>
      </w:r>
    </w:p>
    <w:p w:rsidR="00446B80" w:rsidRPr="00C47E18" w:rsidRDefault="00127E4E" w:rsidP="00442D9F">
      <w:pPr>
        <w:spacing w:before="120"/>
        <w:ind w:firstLine="720"/>
        <w:jc w:val="both"/>
        <w:rPr>
          <w:lang w:val="nl-NL"/>
        </w:rPr>
      </w:pPr>
      <w:r>
        <w:rPr>
          <w:lang w:val="nl-NL"/>
        </w:rPr>
        <w:t>2.1</w:t>
      </w:r>
      <w:r w:rsidR="00446B80" w:rsidRPr="00C47E18">
        <w:rPr>
          <w:lang w:val="nl-NL"/>
        </w:rPr>
        <w:t>. Kế hoạch năm 2016</w:t>
      </w:r>
      <w:r w:rsidR="00CA5965">
        <w:rPr>
          <w:lang w:val="nl-NL"/>
        </w:rPr>
        <w:t xml:space="preserve"> và</w:t>
      </w:r>
      <w:r w:rsidR="0098166A">
        <w:rPr>
          <w:lang w:val="nl-NL"/>
        </w:rPr>
        <w:t xml:space="preserve"> 2017</w:t>
      </w:r>
      <w:r w:rsidR="00446B80" w:rsidRPr="00C47E18">
        <w:rPr>
          <w:lang w:val="nl-NL"/>
        </w:rPr>
        <w:t xml:space="preserve"> đã phân bổ</w:t>
      </w:r>
      <w:r w:rsidR="00D30E6B">
        <w:rPr>
          <w:lang w:val="nl-NL"/>
        </w:rPr>
        <w:t>: 1.109,44 tỷ đồng</w:t>
      </w:r>
      <w:r w:rsidR="00CE6C36">
        <w:rPr>
          <w:rStyle w:val="FootnoteReference"/>
          <w:lang w:val="nl-NL"/>
        </w:rPr>
        <w:footnoteReference w:id="11"/>
      </w:r>
      <w:r w:rsidR="00E100C9">
        <w:rPr>
          <w:lang w:val="nl-NL"/>
        </w:rPr>
        <w:t>.</w:t>
      </w:r>
    </w:p>
    <w:p w:rsidR="00446B80" w:rsidRPr="00C47E18" w:rsidRDefault="00127E4E" w:rsidP="00442D9F">
      <w:pPr>
        <w:spacing w:before="120"/>
        <w:ind w:firstLine="720"/>
        <w:jc w:val="both"/>
        <w:rPr>
          <w:lang w:val="nl-NL"/>
        </w:rPr>
      </w:pPr>
      <w:r>
        <w:rPr>
          <w:lang w:val="nl-NL"/>
        </w:rPr>
        <w:t>2.2</w:t>
      </w:r>
      <w:r w:rsidR="00446B80" w:rsidRPr="00C47E18">
        <w:rPr>
          <w:lang w:val="nl-NL"/>
        </w:rPr>
        <w:t>. Kế hoạch vốn giai đoạn 201</w:t>
      </w:r>
      <w:r w:rsidR="001B521B">
        <w:rPr>
          <w:lang w:val="nl-NL"/>
        </w:rPr>
        <w:t>8</w:t>
      </w:r>
      <w:r w:rsidR="00446B80" w:rsidRPr="00C47E18">
        <w:rPr>
          <w:lang w:val="nl-NL"/>
        </w:rPr>
        <w:t xml:space="preserve">-2020 còn lại là </w:t>
      </w:r>
      <w:r w:rsidR="001B521B">
        <w:rPr>
          <w:lang w:val="nl-NL"/>
        </w:rPr>
        <w:t>1</w:t>
      </w:r>
      <w:r w:rsidR="00446B80" w:rsidRPr="00C47E18">
        <w:rPr>
          <w:lang w:val="nl-NL"/>
        </w:rPr>
        <w:t>.</w:t>
      </w:r>
      <w:r w:rsidR="001B521B">
        <w:rPr>
          <w:lang w:val="nl-NL"/>
        </w:rPr>
        <w:t>748</w:t>
      </w:r>
      <w:r w:rsidR="00446B80" w:rsidRPr="00C47E18">
        <w:rPr>
          <w:lang w:val="nl-NL"/>
        </w:rPr>
        <w:t>,</w:t>
      </w:r>
      <w:r w:rsidR="001B521B">
        <w:rPr>
          <w:lang w:val="nl-NL"/>
        </w:rPr>
        <w:t>82</w:t>
      </w:r>
      <w:r w:rsidR="00C219F3">
        <w:rPr>
          <w:lang w:val="nl-NL"/>
        </w:rPr>
        <w:t>7</w:t>
      </w:r>
      <w:r w:rsidR="001B521B">
        <w:rPr>
          <w:lang w:val="nl-NL"/>
        </w:rPr>
        <w:t xml:space="preserve"> tỷ đồng</w:t>
      </w:r>
      <w:r w:rsidR="00616756">
        <w:rPr>
          <w:lang w:val="nl-NL"/>
        </w:rPr>
        <w:t xml:space="preserve"> (bình quân mỗi năm </w:t>
      </w:r>
      <w:r w:rsidR="003F00DB">
        <w:rPr>
          <w:lang w:val="nl-NL"/>
        </w:rPr>
        <w:t>583</w:t>
      </w:r>
      <w:r w:rsidR="00616756">
        <w:rPr>
          <w:lang w:val="nl-NL"/>
        </w:rPr>
        <w:t xml:space="preserve"> tỷ đồng)</w:t>
      </w:r>
      <w:r w:rsidR="00446B80" w:rsidRPr="00C47E18">
        <w:rPr>
          <w:lang w:val="nl-NL"/>
        </w:rPr>
        <w:t>, dự kiến phân bổ như sau:</w:t>
      </w:r>
    </w:p>
    <w:p w:rsidR="00446B80" w:rsidRDefault="00446B80" w:rsidP="00442D9F">
      <w:pPr>
        <w:spacing w:before="120"/>
        <w:ind w:firstLine="720"/>
        <w:jc w:val="both"/>
        <w:rPr>
          <w:lang w:val="nl-NL"/>
        </w:rPr>
      </w:pPr>
      <w:r w:rsidRPr="00C47E18">
        <w:rPr>
          <w:lang w:val="nl-NL"/>
        </w:rPr>
        <w:t>a.</w:t>
      </w:r>
      <w:r w:rsidR="00FC0731">
        <w:rPr>
          <w:lang w:val="nl-NL"/>
        </w:rPr>
        <w:t xml:space="preserve"> </w:t>
      </w:r>
      <w:r w:rsidRPr="00C47E18">
        <w:rPr>
          <w:lang w:val="nl-NL"/>
        </w:rPr>
        <w:t xml:space="preserve">Các khoản chi chung không phân bổ cho các huyện, ngành là </w:t>
      </w:r>
      <w:r w:rsidR="000B288C">
        <w:rPr>
          <w:lang w:val="nl-NL"/>
        </w:rPr>
        <w:t>612,09</w:t>
      </w:r>
      <w:r w:rsidR="00770A82">
        <w:rPr>
          <w:lang w:val="nl-NL"/>
        </w:rPr>
        <w:t xml:space="preserve"> tỷ đồng</w:t>
      </w:r>
      <w:r w:rsidR="00501958">
        <w:rPr>
          <w:rStyle w:val="FootnoteReference"/>
          <w:lang w:val="nl-NL"/>
        </w:rPr>
        <w:footnoteReference w:id="12"/>
      </w:r>
      <w:r w:rsidRPr="00C47E18">
        <w:rPr>
          <w:lang w:val="nl-NL"/>
        </w:rPr>
        <w:t>, cụ thể:</w:t>
      </w:r>
    </w:p>
    <w:p w:rsidR="00BD4318" w:rsidRPr="00C47E18" w:rsidRDefault="00843ACF" w:rsidP="00442D9F">
      <w:pPr>
        <w:spacing w:before="120"/>
        <w:ind w:firstLine="720"/>
        <w:jc w:val="both"/>
        <w:rPr>
          <w:lang w:val="nl-NL"/>
        </w:rPr>
      </w:pPr>
      <w:r>
        <w:rPr>
          <w:lang w:val="nl-NL"/>
        </w:rPr>
        <w:t xml:space="preserve">- </w:t>
      </w:r>
      <w:r w:rsidRPr="00843ACF">
        <w:rPr>
          <w:lang w:val="nl-NL"/>
        </w:rPr>
        <w:t xml:space="preserve">Dự phòng </w:t>
      </w:r>
      <w:r>
        <w:rPr>
          <w:lang w:val="nl-NL"/>
        </w:rPr>
        <w:t xml:space="preserve">để </w:t>
      </w:r>
      <w:r w:rsidRPr="00843ACF">
        <w:rPr>
          <w:lang w:val="nl-NL"/>
        </w:rPr>
        <w:t>xử lý các vấn đề phát sinh trong kế hoạch hằng năm (10%)</w:t>
      </w:r>
      <w:r>
        <w:rPr>
          <w:lang w:val="nl-NL"/>
        </w:rPr>
        <w:t xml:space="preserve">: </w:t>
      </w:r>
      <w:r w:rsidR="008E14AA">
        <w:rPr>
          <w:lang w:val="nl-NL"/>
        </w:rPr>
        <w:t>61,209</w:t>
      </w:r>
      <w:r>
        <w:rPr>
          <w:lang w:val="nl-NL"/>
        </w:rPr>
        <w:t xml:space="preserve"> tỷ đồng</w:t>
      </w:r>
      <w:r w:rsidR="00B003E8">
        <w:rPr>
          <w:rStyle w:val="FootnoteReference"/>
          <w:lang w:val="nl-NL"/>
        </w:rPr>
        <w:footnoteReference w:id="13"/>
      </w:r>
      <w:r w:rsidR="00F46D4A">
        <w:rPr>
          <w:lang w:val="nl-NL"/>
        </w:rPr>
        <w:t>.</w:t>
      </w:r>
    </w:p>
    <w:p w:rsidR="00446B80" w:rsidRPr="00C47E18" w:rsidRDefault="00446B80" w:rsidP="00442D9F">
      <w:pPr>
        <w:spacing w:before="120"/>
        <w:ind w:firstLine="720"/>
        <w:jc w:val="both"/>
        <w:rPr>
          <w:lang w:val="nl-NL"/>
        </w:rPr>
      </w:pPr>
      <w:r w:rsidRPr="00C47E18">
        <w:rPr>
          <w:lang w:val="nl-NL"/>
        </w:rPr>
        <w:t xml:space="preserve">- </w:t>
      </w:r>
      <w:r w:rsidR="00992216" w:rsidRPr="00992216">
        <w:rPr>
          <w:lang w:val="nl-NL"/>
        </w:rPr>
        <w:t>Trả nợ vay</w:t>
      </w:r>
      <w:r w:rsidR="00C003DA">
        <w:rPr>
          <w:lang w:val="nl-NL"/>
        </w:rPr>
        <w:t xml:space="preserve"> vốn</w:t>
      </w:r>
      <w:r w:rsidR="00992216" w:rsidRPr="00992216">
        <w:rPr>
          <w:lang w:val="nl-NL"/>
        </w:rPr>
        <w:t xml:space="preserve"> </w:t>
      </w:r>
      <w:r w:rsidR="004730AE">
        <w:rPr>
          <w:lang w:val="nl-NL"/>
        </w:rPr>
        <w:t>tín dụng đầu tư phát triển năm 2016</w:t>
      </w:r>
      <w:r w:rsidR="00992216" w:rsidRPr="00992216">
        <w:rPr>
          <w:lang w:val="nl-NL"/>
        </w:rPr>
        <w:t xml:space="preserve"> </w:t>
      </w:r>
      <w:r w:rsidR="00D078FE">
        <w:rPr>
          <w:lang w:val="nl-NL"/>
        </w:rPr>
        <w:t xml:space="preserve">theo Quyết định số 1939/QĐ-BKHĐT ngày </w:t>
      </w:r>
      <w:r w:rsidR="00CC568F">
        <w:rPr>
          <w:lang w:val="nl-NL"/>
        </w:rPr>
        <w:t>30/12/2016 của Bộ Kế hoạch và Đầu tư</w:t>
      </w:r>
      <w:r w:rsidR="006128DA">
        <w:rPr>
          <w:lang w:val="nl-NL"/>
        </w:rPr>
        <w:t xml:space="preserve">: </w:t>
      </w:r>
      <w:r w:rsidR="00ED1C97">
        <w:rPr>
          <w:lang w:val="nl-NL"/>
        </w:rPr>
        <w:t>142,283</w:t>
      </w:r>
      <w:r w:rsidR="0073611A">
        <w:rPr>
          <w:lang w:val="nl-NL"/>
        </w:rPr>
        <w:t xml:space="preserve"> tỷ đồng</w:t>
      </w:r>
      <w:r w:rsidR="001D1E1E">
        <w:rPr>
          <w:rStyle w:val="FootnoteReference"/>
          <w:lang w:val="nl-NL"/>
        </w:rPr>
        <w:footnoteReference w:id="14"/>
      </w:r>
      <w:r w:rsidR="005C05F0">
        <w:rPr>
          <w:lang w:val="nl-NL"/>
        </w:rPr>
        <w:t>.</w:t>
      </w:r>
    </w:p>
    <w:p w:rsidR="00446B80" w:rsidRDefault="00F73BBB" w:rsidP="00442D9F">
      <w:pPr>
        <w:spacing w:before="120"/>
        <w:ind w:firstLine="720"/>
        <w:jc w:val="both"/>
        <w:rPr>
          <w:lang w:val="nl-NL"/>
        </w:rPr>
      </w:pPr>
      <w:r>
        <w:rPr>
          <w:lang w:val="nl-NL"/>
        </w:rPr>
        <w:lastRenderedPageBreak/>
        <w:t xml:space="preserve">- Bố trí vốn </w:t>
      </w:r>
      <w:r w:rsidR="00A87CF8">
        <w:rPr>
          <w:lang w:val="nl-NL"/>
        </w:rPr>
        <w:t>đ</w:t>
      </w:r>
      <w:r>
        <w:rPr>
          <w:lang w:val="nl-NL"/>
        </w:rPr>
        <w:t>ối ứng các dự án ODA</w:t>
      </w:r>
      <w:r w:rsidR="00A87CF8">
        <w:rPr>
          <w:lang w:val="nl-NL"/>
        </w:rPr>
        <w:t xml:space="preserve">: </w:t>
      </w:r>
      <w:r w:rsidR="00DB6899">
        <w:rPr>
          <w:lang w:val="nl-NL"/>
        </w:rPr>
        <w:t>150 tỷ đồng (bình quân mỗi năm 50 tỷ đồng).</w:t>
      </w:r>
    </w:p>
    <w:p w:rsidR="00832525" w:rsidRDefault="00C962DB" w:rsidP="00442D9F">
      <w:pPr>
        <w:spacing w:before="120"/>
        <w:ind w:firstLine="720"/>
        <w:jc w:val="both"/>
        <w:rPr>
          <w:lang w:val="nl-NL"/>
        </w:rPr>
      </w:pPr>
      <w:r>
        <w:rPr>
          <w:lang w:val="nl-NL"/>
        </w:rPr>
        <w:t xml:space="preserve">- </w:t>
      </w:r>
      <w:r w:rsidR="001136B2">
        <w:rPr>
          <w:lang w:val="nl-NL"/>
        </w:rPr>
        <w:t>Bố trí vốn</w:t>
      </w:r>
      <w:r>
        <w:rPr>
          <w:lang w:val="nl-NL"/>
        </w:rPr>
        <w:t xml:space="preserve"> các dự án quan trọng</w:t>
      </w:r>
      <w:r w:rsidR="00411232">
        <w:rPr>
          <w:lang w:val="nl-NL"/>
        </w:rPr>
        <w:t>, cấp bách</w:t>
      </w:r>
      <w:r>
        <w:rPr>
          <w:lang w:val="nl-NL"/>
        </w:rPr>
        <w:t xml:space="preserve"> của địa phương</w:t>
      </w:r>
      <w:r w:rsidR="00832525">
        <w:rPr>
          <w:lang w:val="nl-NL"/>
        </w:rPr>
        <w:t xml:space="preserve">: </w:t>
      </w:r>
      <w:r w:rsidR="002B12FC">
        <w:rPr>
          <w:lang w:val="nl-NL"/>
        </w:rPr>
        <w:t>258</w:t>
      </w:r>
      <w:r w:rsidR="009C6876">
        <w:rPr>
          <w:lang w:val="nl-NL"/>
        </w:rPr>
        <w:t>,59</w:t>
      </w:r>
      <w:r w:rsidR="0071669B">
        <w:rPr>
          <w:lang w:val="nl-NL"/>
        </w:rPr>
        <w:t>8</w:t>
      </w:r>
      <w:r w:rsidR="00832525">
        <w:rPr>
          <w:lang w:val="nl-NL"/>
        </w:rPr>
        <w:t xml:space="preserve"> tỷ đồng, </w:t>
      </w:r>
      <w:r w:rsidR="004D55BE">
        <w:rPr>
          <w:lang w:val="nl-NL"/>
        </w:rPr>
        <w:t>trong đó</w:t>
      </w:r>
      <w:r w:rsidR="00832525">
        <w:rPr>
          <w:lang w:val="nl-NL"/>
        </w:rPr>
        <w:t>:</w:t>
      </w:r>
    </w:p>
    <w:p w:rsidR="00BB70C0" w:rsidRDefault="00BB70C0" w:rsidP="00442D9F">
      <w:pPr>
        <w:spacing w:before="120"/>
        <w:ind w:firstLine="720"/>
        <w:jc w:val="both"/>
        <w:rPr>
          <w:lang w:val="nl-NL"/>
        </w:rPr>
      </w:pPr>
      <w:r>
        <w:rPr>
          <w:lang w:val="nl-NL"/>
        </w:rPr>
        <w:t>+</w:t>
      </w:r>
      <w:r w:rsidR="00333B79">
        <w:rPr>
          <w:lang w:val="nl-NL"/>
        </w:rPr>
        <w:t xml:space="preserve"> </w:t>
      </w:r>
      <w:r w:rsidR="00F240C2">
        <w:rPr>
          <w:lang w:val="nl-NL"/>
        </w:rPr>
        <w:t xml:space="preserve">Bố trí chuyển tiếp 02 dự án (đã được khởi công trong kế hoạch năm 2017) với số tiền </w:t>
      </w:r>
      <w:r w:rsidR="005E0A3E">
        <w:rPr>
          <w:lang w:val="nl-NL"/>
        </w:rPr>
        <w:t>19</w:t>
      </w:r>
      <w:r w:rsidR="00716086">
        <w:rPr>
          <w:lang w:val="nl-NL"/>
        </w:rPr>
        <w:t xml:space="preserve"> tỷ đồng (</w:t>
      </w:r>
      <w:r w:rsidR="00D776B7">
        <w:rPr>
          <w:lang w:val="nl-NL"/>
        </w:rPr>
        <w:t xml:space="preserve">gồm: </w:t>
      </w:r>
      <w:r w:rsidR="00716086" w:rsidRPr="00716086">
        <w:rPr>
          <w:lang w:val="nl-NL"/>
        </w:rPr>
        <w:t>Cầu Chợ Hôm xã Phương Mỹ</w:t>
      </w:r>
      <w:r w:rsidR="00716086">
        <w:rPr>
          <w:lang w:val="nl-NL"/>
        </w:rPr>
        <w:t xml:space="preserve"> </w:t>
      </w:r>
      <w:r w:rsidR="00C00360">
        <w:rPr>
          <w:lang w:val="nl-NL"/>
        </w:rPr>
        <w:t>11</w:t>
      </w:r>
      <w:r w:rsidR="00716086">
        <w:rPr>
          <w:lang w:val="nl-NL"/>
        </w:rPr>
        <w:t xml:space="preserve"> tỷ đồng; </w:t>
      </w:r>
      <w:r w:rsidR="00E82C74" w:rsidRPr="00E82C74">
        <w:rPr>
          <w:lang w:val="nl-NL"/>
        </w:rPr>
        <w:t>Cầu Trung Lưu</w:t>
      </w:r>
      <w:r w:rsidR="00E82C74">
        <w:rPr>
          <w:lang w:val="nl-NL"/>
        </w:rPr>
        <w:t xml:space="preserve"> xã Sơn Tây 8 tỷ đồng)</w:t>
      </w:r>
      <w:r w:rsidR="00675F25">
        <w:rPr>
          <w:lang w:val="nl-NL"/>
        </w:rPr>
        <w:t>;</w:t>
      </w:r>
    </w:p>
    <w:p w:rsidR="000A309A" w:rsidRDefault="00E82C74" w:rsidP="00442D9F">
      <w:pPr>
        <w:spacing w:before="120"/>
        <w:ind w:firstLine="720"/>
        <w:jc w:val="both"/>
        <w:rPr>
          <w:lang w:val="nl-NL"/>
        </w:rPr>
      </w:pPr>
      <w:r>
        <w:rPr>
          <w:lang w:val="nl-NL"/>
        </w:rPr>
        <w:t>+</w:t>
      </w:r>
      <w:r w:rsidR="00187691">
        <w:rPr>
          <w:lang w:val="nl-NL"/>
        </w:rPr>
        <w:t xml:space="preserve"> </w:t>
      </w:r>
      <w:r w:rsidR="00FB23DA">
        <w:rPr>
          <w:lang w:val="nl-NL"/>
        </w:rPr>
        <w:t>Bổ sung phần</w:t>
      </w:r>
      <w:r w:rsidR="00187691">
        <w:rPr>
          <w:lang w:val="nl-NL"/>
        </w:rPr>
        <w:t xml:space="preserve"> </w:t>
      </w:r>
      <w:r w:rsidR="00476282">
        <w:rPr>
          <w:lang w:val="nl-NL"/>
        </w:rPr>
        <w:t xml:space="preserve">vốn </w:t>
      </w:r>
      <w:r w:rsidR="00187691">
        <w:rPr>
          <w:lang w:val="nl-NL"/>
        </w:rPr>
        <w:t>còn thiếu các dự án sử dụng vốn tín dụng đầu tư phát triển năm 2016</w:t>
      </w:r>
      <w:r w:rsidR="00C31BB3">
        <w:rPr>
          <w:lang w:val="nl-NL"/>
        </w:rPr>
        <w:t xml:space="preserve"> </w:t>
      </w:r>
      <w:r w:rsidR="00FA4F8F">
        <w:rPr>
          <w:lang w:val="nl-NL"/>
        </w:rPr>
        <w:t xml:space="preserve">theo Quyết định số 1939/QĐ-BKHĐT ngày 30/12/2016 của Bộ Kế hoạch và Đầu tư </w:t>
      </w:r>
      <w:r w:rsidR="00187691">
        <w:rPr>
          <w:lang w:val="nl-NL"/>
        </w:rPr>
        <w:t xml:space="preserve">với số tiền </w:t>
      </w:r>
      <w:r w:rsidR="005C6CB1">
        <w:rPr>
          <w:lang w:val="nl-NL"/>
        </w:rPr>
        <w:t>10</w:t>
      </w:r>
      <w:r w:rsidR="003F13DF">
        <w:rPr>
          <w:lang w:val="nl-NL"/>
        </w:rPr>
        <w:t>1</w:t>
      </w:r>
      <w:r w:rsidR="00675F25">
        <w:rPr>
          <w:lang w:val="nl-NL"/>
        </w:rPr>
        <w:t xml:space="preserve"> tỷ đồng</w:t>
      </w:r>
      <w:r w:rsidR="001B16D8">
        <w:rPr>
          <w:rStyle w:val="FootnoteReference"/>
          <w:lang w:val="nl-NL"/>
        </w:rPr>
        <w:footnoteReference w:id="15"/>
      </w:r>
      <w:r w:rsidR="000A309A">
        <w:rPr>
          <w:lang w:val="nl-NL"/>
        </w:rPr>
        <w:t xml:space="preserve"> (</w:t>
      </w:r>
      <w:r w:rsidR="000B5CD9">
        <w:rPr>
          <w:lang w:val="nl-NL"/>
        </w:rPr>
        <w:t xml:space="preserve">gồm: </w:t>
      </w:r>
      <w:r w:rsidR="00301B6B" w:rsidRPr="00301B6B">
        <w:rPr>
          <w:lang w:val="nl-NL"/>
        </w:rPr>
        <w:t xml:space="preserve">Nâng cấp tuyến đường giao thông liên xã Mỹ - Thành - Hoa, huyện Nghi Xuân </w:t>
      </w:r>
      <w:r w:rsidR="00930D33">
        <w:rPr>
          <w:lang w:val="nl-NL"/>
        </w:rPr>
        <w:t>11</w:t>
      </w:r>
      <w:r w:rsidR="00301B6B">
        <w:rPr>
          <w:lang w:val="nl-NL"/>
        </w:rPr>
        <w:t xml:space="preserve"> tỷ đồng; </w:t>
      </w:r>
      <w:r w:rsidR="006A15A8" w:rsidRPr="006A15A8">
        <w:rPr>
          <w:lang w:val="nl-NL"/>
        </w:rPr>
        <w:t xml:space="preserve">Đường Phúc Trạch - Hương Liên, huyện Hương Khê </w:t>
      </w:r>
      <w:r w:rsidR="006A15A8">
        <w:rPr>
          <w:lang w:val="nl-NL"/>
        </w:rPr>
        <w:t xml:space="preserve">35 tỷ đồng; </w:t>
      </w:r>
      <w:r w:rsidR="00301B6B" w:rsidRPr="00301B6B">
        <w:rPr>
          <w:lang w:val="nl-NL"/>
        </w:rPr>
        <w:t>Nâng cấp, mở rộng tuyến đường giao thông liên xã Hồng Lộc - Phù Lưu, huyện Lộc Hà</w:t>
      </w:r>
      <w:r w:rsidR="00301B6B">
        <w:rPr>
          <w:lang w:val="nl-NL"/>
        </w:rPr>
        <w:t xml:space="preserve"> </w:t>
      </w:r>
      <w:r w:rsidR="0012656F">
        <w:rPr>
          <w:lang w:val="nl-NL"/>
        </w:rPr>
        <w:t>3</w:t>
      </w:r>
      <w:r w:rsidR="00B01A08">
        <w:rPr>
          <w:lang w:val="nl-NL"/>
        </w:rPr>
        <w:t>5</w:t>
      </w:r>
      <w:r w:rsidR="00301B6B">
        <w:rPr>
          <w:lang w:val="nl-NL"/>
        </w:rPr>
        <w:t xml:space="preserve"> tỷ đồng; </w:t>
      </w:r>
      <w:r w:rsidR="00301B6B" w:rsidRPr="00301B6B">
        <w:rPr>
          <w:lang w:val="nl-NL"/>
        </w:rPr>
        <w:t>Đường giao thông từ đường Hồ Chí Minh vào trung tâm xã Hương Thủy</w:t>
      </w:r>
      <w:r w:rsidR="00301B6B">
        <w:rPr>
          <w:lang w:val="nl-NL"/>
        </w:rPr>
        <w:t xml:space="preserve"> </w:t>
      </w:r>
      <w:r w:rsidR="00981792">
        <w:rPr>
          <w:lang w:val="nl-NL"/>
        </w:rPr>
        <w:t>20</w:t>
      </w:r>
      <w:r w:rsidR="00301B6B">
        <w:rPr>
          <w:lang w:val="nl-NL"/>
        </w:rPr>
        <w:t xml:space="preserve"> tỷ đồng)</w:t>
      </w:r>
      <w:r w:rsidR="00AC71B5">
        <w:rPr>
          <w:lang w:val="nl-NL"/>
        </w:rPr>
        <w:t>;</w:t>
      </w:r>
    </w:p>
    <w:p w:rsidR="00675F25" w:rsidRDefault="00675F25" w:rsidP="00442D9F">
      <w:pPr>
        <w:spacing w:before="120"/>
        <w:ind w:firstLine="720"/>
        <w:jc w:val="both"/>
        <w:rPr>
          <w:lang w:val="nl-NL"/>
        </w:rPr>
      </w:pPr>
      <w:r>
        <w:rPr>
          <w:lang w:val="nl-NL"/>
        </w:rPr>
        <w:t xml:space="preserve">+ </w:t>
      </w:r>
      <w:r w:rsidR="002B6A56">
        <w:rPr>
          <w:lang w:val="nl-NL"/>
        </w:rPr>
        <w:t xml:space="preserve">Khởi công mới các dự án quan trọng, cấp bách của địa phương đã được thẩm định, phê duyệt sử dụng nguồn ngân sách </w:t>
      </w:r>
      <w:r w:rsidR="00731B37">
        <w:rPr>
          <w:lang w:val="nl-NL"/>
        </w:rPr>
        <w:t xml:space="preserve">XDCB </w:t>
      </w:r>
      <w:r w:rsidR="002B6A56">
        <w:rPr>
          <w:lang w:val="nl-NL"/>
        </w:rPr>
        <w:t xml:space="preserve">tập trung </w:t>
      </w:r>
      <w:r w:rsidR="00731B37" w:rsidRPr="00731B37">
        <w:rPr>
          <w:lang w:val="nl-NL"/>
        </w:rPr>
        <w:t>theo Nghị quyết số 14/2016/NQ-HĐND ngày 24/9/2016 của HĐND tỉnh</w:t>
      </w:r>
      <w:r w:rsidR="00DB21AC">
        <w:rPr>
          <w:lang w:val="nl-NL"/>
        </w:rPr>
        <w:t>: 1</w:t>
      </w:r>
      <w:r w:rsidR="00A3186F">
        <w:rPr>
          <w:lang w:val="nl-NL"/>
        </w:rPr>
        <w:t>3</w:t>
      </w:r>
      <w:r w:rsidR="00861F96">
        <w:rPr>
          <w:lang w:val="nl-NL"/>
        </w:rPr>
        <w:t>8</w:t>
      </w:r>
      <w:r w:rsidR="00DB21AC">
        <w:rPr>
          <w:lang w:val="nl-NL"/>
        </w:rPr>
        <w:t>,59</w:t>
      </w:r>
      <w:r w:rsidR="00E03EBE">
        <w:rPr>
          <w:lang w:val="nl-NL"/>
        </w:rPr>
        <w:t>8</w:t>
      </w:r>
      <w:r w:rsidR="00DB21AC">
        <w:rPr>
          <w:lang w:val="nl-NL"/>
        </w:rPr>
        <w:t xml:space="preserve"> tỷ đồng</w:t>
      </w:r>
      <w:r w:rsidR="00BA47B2">
        <w:rPr>
          <w:lang w:val="nl-NL"/>
        </w:rPr>
        <w:t xml:space="preserve"> (</w:t>
      </w:r>
      <w:r w:rsidR="005321C8">
        <w:rPr>
          <w:lang w:val="nl-NL"/>
        </w:rPr>
        <w:t xml:space="preserve">gồm: </w:t>
      </w:r>
      <w:r w:rsidR="00387273" w:rsidRPr="00387273">
        <w:rPr>
          <w:lang w:val="nl-NL"/>
        </w:rPr>
        <w:t>Cầu Hà Linh, huyện Hương Khê</w:t>
      </w:r>
      <w:r w:rsidR="00387273">
        <w:rPr>
          <w:lang w:val="nl-NL"/>
        </w:rPr>
        <w:t xml:space="preserve"> </w:t>
      </w:r>
      <w:r w:rsidR="00C47074">
        <w:rPr>
          <w:lang w:val="nl-NL"/>
        </w:rPr>
        <w:t>10</w:t>
      </w:r>
      <w:r w:rsidR="00387273">
        <w:rPr>
          <w:lang w:val="nl-NL"/>
        </w:rPr>
        <w:t xml:space="preserve"> tỷ đồng; </w:t>
      </w:r>
      <w:r w:rsidR="00387273" w:rsidRPr="00387273">
        <w:rPr>
          <w:lang w:val="nl-NL"/>
        </w:rPr>
        <w:t>Cầu Vực Nầm xã Sơn Ninh, huyện Hương Sơn</w:t>
      </w:r>
      <w:r w:rsidR="00387273">
        <w:rPr>
          <w:lang w:val="nl-NL"/>
        </w:rPr>
        <w:t xml:space="preserve"> </w:t>
      </w:r>
      <w:r w:rsidR="00C47074">
        <w:rPr>
          <w:lang w:val="nl-NL"/>
        </w:rPr>
        <w:t>10</w:t>
      </w:r>
      <w:r w:rsidR="00387273">
        <w:rPr>
          <w:lang w:val="nl-NL"/>
        </w:rPr>
        <w:t xml:space="preserve"> tỷ đồng; </w:t>
      </w:r>
      <w:r w:rsidR="00387273" w:rsidRPr="00387273">
        <w:rPr>
          <w:lang w:val="nl-NL"/>
        </w:rPr>
        <w:t>Cầu Rào Ngầm, xã Hương Lâm</w:t>
      </w:r>
      <w:r w:rsidR="00387273">
        <w:rPr>
          <w:lang w:val="nl-NL"/>
        </w:rPr>
        <w:t xml:space="preserve"> </w:t>
      </w:r>
      <w:r w:rsidR="00C47074">
        <w:rPr>
          <w:lang w:val="nl-NL"/>
        </w:rPr>
        <w:t>10</w:t>
      </w:r>
      <w:r w:rsidR="00387273">
        <w:rPr>
          <w:lang w:val="nl-NL"/>
        </w:rPr>
        <w:t xml:space="preserve"> tỷ đồng; </w:t>
      </w:r>
      <w:r w:rsidR="00387273" w:rsidRPr="00387273">
        <w:rPr>
          <w:lang w:val="nl-NL"/>
        </w:rPr>
        <w:t>Đường Nguyễn Công Trứ đoạn từ đường Phan Đình Phùng đến đường Hải Thượng Lãn Ông, thành phố Hà Tĩnh</w:t>
      </w:r>
      <w:r w:rsidR="00387273">
        <w:rPr>
          <w:lang w:val="nl-NL"/>
        </w:rPr>
        <w:t xml:space="preserve"> </w:t>
      </w:r>
      <w:r w:rsidR="00CF1415">
        <w:rPr>
          <w:lang w:val="nl-NL"/>
        </w:rPr>
        <w:t xml:space="preserve">20 tỷ đồng; </w:t>
      </w:r>
      <w:r w:rsidR="00CF1415" w:rsidRPr="00CF1415">
        <w:rPr>
          <w:lang w:val="nl-NL"/>
        </w:rPr>
        <w:t>Đường Cẩm Dương - Cẩm Thịnh, huyện Cẩm Xuyên</w:t>
      </w:r>
      <w:r w:rsidR="00CF1415">
        <w:rPr>
          <w:lang w:val="nl-NL"/>
        </w:rPr>
        <w:t xml:space="preserve"> </w:t>
      </w:r>
      <w:r w:rsidR="00CB1E2D">
        <w:rPr>
          <w:lang w:val="nl-NL"/>
        </w:rPr>
        <w:t>5</w:t>
      </w:r>
      <w:r w:rsidR="004831CB">
        <w:rPr>
          <w:lang w:val="nl-NL"/>
        </w:rPr>
        <w:t>5</w:t>
      </w:r>
      <w:r w:rsidR="00CF1415">
        <w:rPr>
          <w:lang w:val="nl-NL"/>
        </w:rPr>
        <w:t xml:space="preserve"> tỷ đồng; </w:t>
      </w:r>
      <w:r w:rsidR="00C47074">
        <w:rPr>
          <w:lang w:val="nl-NL"/>
        </w:rPr>
        <w:t xml:space="preserve">Nâng cấp tuyến đường ĐH.141 </w:t>
      </w:r>
      <w:r w:rsidR="00C47074" w:rsidRPr="00C47074">
        <w:rPr>
          <w:lang w:val="nl-NL"/>
        </w:rPr>
        <w:t>đoạn từ QL1 đến Cầu Ải xã Kỳ Khang, huyện Kỳ Anh</w:t>
      </w:r>
      <w:r w:rsidR="00C47074">
        <w:rPr>
          <w:lang w:val="nl-NL"/>
        </w:rPr>
        <w:t xml:space="preserve"> 5 tỷ đồng</w:t>
      </w:r>
      <w:r w:rsidR="00BE43AB">
        <w:rPr>
          <w:lang w:val="nl-NL"/>
        </w:rPr>
        <w:t xml:space="preserve">; </w:t>
      </w:r>
      <w:r w:rsidR="002B71B2">
        <w:rPr>
          <w:lang w:val="nl-NL"/>
        </w:rPr>
        <w:t>H</w:t>
      </w:r>
      <w:r w:rsidR="00BE43AB" w:rsidRPr="00BE43AB">
        <w:rPr>
          <w:lang w:val="nl-NL"/>
        </w:rPr>
        <w:t>ạ tầng kỹ thuật khu dân cư nông thôn phục vụ phòng, chống ngập lũ cho nhân dân xã Phương Mỹ, huyện Hương Khê</w:t>
      </w:r>
      <w:r w:rsidR="00BE43AB">
        <w:rPr>
          <w:lang w:val="nl-NL"/>
        </w:rPr>
        <w:t xml:space="preserve"> 13 tỷ đồng</w:t>
      </w:r>
      <w:r w:rsidR="002B71B2">
        <w:rPr>
          <w:lang w:val="nl-NL"/>
        </w:rPr>
        <w:t>;</w:t>
      </w:r>
      <w:r w:rsidR="002B71B2" w:rsidRPr="002B71B2">
        <w:rPr>
          <w:lang w:val="nl-NL"/>
        </w:rPr>
        <w:t xml:space="preserve"> </w:t>
      </w:r>
      <w:r w:rsidR="002B71B2" w:rsidRPr="00CF1415">
        <w:rPr>
          <w:lang w:val="nl-NL"/>
        </w:rPr>
        <w:t>Trụ sở làm việc Báo Hà Tĩnh</w:t>
      </w:r>
      <w:r w:rsidR="002B71B2">
        <w:rPr>
          <w:lang w:val="nl-NL"/>
        </w:rPr>
        <w:t xml:space="preserve"> 15,598 tỷ đồng</w:t>
      </w:r>
      <w:r w:rsidR="00CF1415">
        <w:rPr>
          <w:lang w:val="nl-NL"/>
        </w:rPr>
        <w:t>)</w:t>
      </w:r>
      <w:r w:rsidR="00683F65">
        <w:rPr>
          <w:lang w:val="nl-NL"/>
        </w:rPr>
        <w:t>.</w:t>
      </w:r>
    </w:p>
    <w:p w:rsidR="00446B80" w:rsidRPr="00C47E18" w:rsidRDefault="00446B80" w:rsidP="00442D9F">
      <w:pPr>
        <w:spacing w:before="120"/>
        <w:ind w:firstLine="720"/>
        <w:jc w:val="both"/>
        <w:rPr>
          <w:lang w:val="nl-NL"/>
        </w:rPr>
      </w:pPr>
      <w:r w:rsidRPr="00C47E18">
        <w:rPr>
          <w:lang w:val="nl-NL"/>
        </w:rPr>
        <w:t>b. Số vốn còn lại là 1.</w:t>
      </w:r>
      <w:r w:rsidR="00F967EB">
        <w:rPr>
          <w:lang w:val="nl-NL"/>
        </w:rPr>
        <w:t>136,738</w:t>
      </w:r>
      <w:r w:rsidRPr="00C47E18">
        <w:rPr>
          <w:lang w:val="nl-NL"/>
        </w:rPr>
        <w:t xml:space="preserve"> tỷ đồng</w:t>
      </w:r>
      <w:r>
        <w:rPr>
          <w:lang w:val="nl-NL"/>
        </w:rPr>
        <w:t xml:space="preserve"> từ nguồn</w:t>
      </w:r>
      <w:r w:rsidRPr="00C47E18">
        <w:rPr>
          <w:lang w:val="nl-NL"/>
        </w:rPr>
        <w:t xml:space="preserve"> Ngân sách tập trung, phân bổ theo tỷ lệ giữa cấp tỉnh và cấp huyện như sau:</w:t>
      </w:r>
    </w:p>
    <w:p w:rsidR="00446B80" w:rsidRPr="00C47E18" w:rsidRDefault="00866B30" w:rsidP="00442D9F">
      <w:pPr>
        <w:spacing w:before="120"/>
        <w:ind w:firstLine="720"/>
        <w:jc w:val="both"/>
        <w:rPr>
          <w:spacing w:val="4"/>
          <w:lang w:val="pt-BR"/>
        </w:rPr>
      </w:pPr>
      <w:r>
        <w:rPr>
          <w:lang w:val="nl-NL"/>
        </w:rPr>
        <w:t>b1.</w:t>
      </w:r>
      <w:r w:rsidR="00446B80" w:rsidRPr="00C47E18">
        <w:rPr>
          <w:lang w:val="nl-NL"/>
        </w:rPr>
        <w:t xml:space="preserve"> </w:t>
      </w:r>
      <w:r w:rsidR="00446B80" w:rsidRPr="00C47E18">
        <w:rPr>
          <w:spacing w:val="4"/>
          <w:lang w:val="pt-BR"/>
        </w:rPr>
        <w:t xml:space="preserve">Các ngành, đơn vị cấp tỉnh (50%) là </w:t>
      </w:r>
      <w:r w:rsidR="00EE2231">
        <w:rPr>
          <w:spacing w:val="4"/>
          <w:lang w:val="pt-BR"/>
        </w:rPr>
        <w:t>568,369</w:t>
      </w:r>
      <w:r w:rsidR="00446B80" w:rsidRPr="00C47E18">
        <w:rPr>
          <w:spacing w:val="4"/>
          <w:lang w:val="pt-BR"/>
        </w:rPr>
        <w:t xml:space="preserve"> tỷ đồng: </w:t>
      </w:r>
    </w:p>
    <w:tbl>
      <w:tblPr>
        <w:tblW w:w="8471" w:type="dxa"/>
        <w:tblInd w:w="817" w:type="dxa"/>
        <w:tblLook w:val="04A0" w:firstRow="1" w:lastRow="0" w:firstColumn="1" w:lastColumn="0" w:noHBand="0" w:noVBand="1"/>
      </w:tblPr>
      <w:tblGrid>
        <w:gridCol w:w="5245"/>
        <w:gridCol w:w="1559"/>
        <w:gridCol w:w="1667"/>
      </w:tblGrid>
      <w:tr w:rsidR="00815B64" w:rsidRPr="00C47E18" w:rsidTr="001D49F3">
        <w:trPr>
          <w:trHeight w:val="375"/>
        </w:trPr>
        <w:tc>
          <w:tcPr>
            <w:tcW w:w="5245" w:type="dxa"/>
            <w:shd w:val="clear" w:color="auto" w:fill="auto"/>
            <w:noWrap/>
            <w:vAlign w:val="bottom"/>
            <w:hideMark/>
          </w:tcPr>
          <w:p w:rsidR="00815B64" w:rsidRPr="00C47E18" w:rsidRDefault="00127E4E" w:rsidP="00442D9F">
            <w:pPr>
              <w:spacing w:before="120"/>
              <w:rPr>
                <w:lang w:val="pt-BR"/>
              </w:rPr>
            </w:pPr>
            <w:r>
              <w:rPr>
                <w:lang w:val="pt-BR"/>
              </w:rPr>
              <w:t>(1).</w:t>
            </w:r>
            <w:r w:rsidR="00815B64" w:rsidRPr="00C47E18">
              <w:rPr>
                <w:lang w:val="pt-BR"/>
              </w:rPr>
              <w:t xml:space="preserve"> Nông, lâm nghiệp, thủy lợi và thủy sản:</w:t>
            </w:r>
          </w:p>
        </w:tc>
        <w:tc>
          <w:tcPr>
            <w:tcW w:w="1559" w:type="dxa"/>
            <w:shd w:val="clear" w:color="auto" w:fill="auto"/>
            <w:noWrap/>
            <w:vAlign w:val="center"/>
            <w:hideMark/>
          </w:tcPr>
          <w:p w:rsidR="00815B64" w:rsidRPr="00815B64" w:rsidRDefault="00815B64" w:rsidP="00442D9F">
            <w:pPr>
              <w:spacing w:before="120"/>
              <w:rPr>
                <w:bCs/>
              </w:rPr>
            </w:pPr>
            <w:r w:rsidRPr="00815B64">
              <w:rPr>
                <w:bCs/>
              </w:rPr>
              <w:t xml:space="preserve">        56,837 </w:t>
            </w:r>
          </w:p>
        </w:tc>
        <w:tc>
          <w:tcPr>
            <w:tcW w:w="1667" w:type="dxa"/>
            <w:vAlign w:val="center"/>
          </w:tcPr>
          <w:p w:rsidR="00815B64" w:rsidRPr="00C47E18" w:rsidRDefault="00815B64" w:rsidP="00442D9F">
            <w:pPr>
              <w:spacing w:before="120"/>
              <w:rPr>
                <w:lang w:val="pt-BR"/>
              </w:rPr>
            </w:pPr>
            <w:r w:rsidRPr="00C47E18">
              <w:rPr>
                <w:lang w:val="pt-BR"/>
              </w:rPr>
              <w:t>tỷ đồng</w:t>
            </w:r>
          </w:p>
        </w:tc>
      </w:tr>
      <w:tr w:rsidR="00815B64" w:rsidRPr="00C47E18" w:rsidTr="001D49F3">
        <w:trPr>
          <w:trHeight w:val="375"/>
        </w:trPr>
        <w:tc>
          <w:tcPr>
            <w:tcW w:w="5245" w:type="dxa"/>
            <w:shd w:val="clear" w:color="auto" w:fill="auto"/>
            <w:noWrap/>
            <w:vAlign w:val="bottom"/>
            <w:hideMark/>
          </w:tcPr>
          <w:p w:rsidR="00815B64" w:rsidRPr="00C47E18" w:rsidRDefault="00127E4E" w:rsidP="00442D9F">
            <w:pPr>
              <w:spacing w:before="120"/>
            </w:pPr>
            <w:r>
              <w:t>(2).</w:t>
            </w:r>
            <w:r w:rsidR="00815B64" w:rsidRPr="00C47E18">
              <w:t xml:space="preserve"> Công nghiệp:</w:t>
            </w:r>
          </w:p>
        </w:tc>
        <w:tc>
          <w:tcPr>
            <w:tcW w:w="1559" w:type="dxa"/>
            <w:shd w:val="clear" w:color="auto" w:fill="auto"/>
            <w:noWrap/>
            <w:vAlign w:val="center"/>
            <w:hideMark/>
          </w:tcPr>
          <w:p w:rsidR="00815B64" w:rsidRPr="00815B64" w:rsidRDefault="00815B64" w:rsidP="00442D9F">
            <w:pPr>
              <w:spacing w:before="120"/>
              <w:rPr>
                <w:bCs/>
              </w:rPr>
            </w:pPr>
            <w:r w:rsidRPr="00815B64">
              <w:rPr>
                <w:bCs/>
              </w:rPr>
              <w:t xml:space="preserve">        36,944 </w:t>
            </w:r>
          </w:p>
        </w:tc>
        <w:tc>
          <w:tcPr>
            <w:tcW w:w="1667" w:type="dxa"/>
          </w:tcPr>
          <w:p w:rsidR="00815B64" w:rsidRPr="00C47E18" w:rsidRDefault="00815B64" w:rsidP="00442D9F">
            <w:pPr>
              <w:spacing w:before="120"/>
            </w:pPr>
            <w:r w:rsidRPr="00C47E18">
              <w:rPr>
                <w:lang w:val="pt-BR"/>
              </w:rPr>
              <w:t>tỷ đồng</w:t>
            </w:r>
          </w:p>
        </w:tc>
      </w:tr>
      <w:tr w:rsidR="00815B64" w:rsidRPr="00C47E18" w:rsidTr="001D49F3">
        <w:trPr>
          <w:trHeight w:val="375"/>
        </w:trPr>
        <w:tc>
          <w:tcPr>
            <w:tcW w:w="5245" w:type="dxa"/>
            <w:shd w:val="clear" w:color="auto" w:fill="auto"/>
            <w:noWrap/>
            <w:vAlign w:val="bottom"/>
            <w:hideMark/>
          </w:tcPr>
          <w:p w:rsidR="00815B64" w:rsidRPr="00C47E18" w:rsidRDefault="00127E4E" w:rsidP="00442D9F">
            <w:pPr>
              <w:spacing w:before="120"/>
            </w:pPr>
            <w:r>
              <w:t>(3).</w:t>
            </w:r>
            <w:r w:rsidR="00815B64" w:rsidRPr="00C47E18">
              <w:t xml:space="preserve"> Thương mại - Du lịch:</w:t>
            </w:r>
          </w:p>
        </w:tc>
        <w:tc>
          <w:tcPr>
            <w:tcW w:w="1559" w:type="dxa"/>
            <w:shd w:val="clear" w:color="auto" w:fill="auto"/>
            <w:noWrap/>
            <w:vAlign w:val="center"/>
            <w:hideMark/>
          </w:tcPr>
          <w:p w:rsidR="00815B64" w:rsidRPr="00815B64" w:rsidRDefault="00815B64" w:rsidP="00442D9F">
            <w:pPr>
              <w:spacing w:before="120"/>
              <w:rPr>
                <w:bCs/>
              </w:rPr>
            </w:pPr>
            <w:r w:rsidRPr="00815B64">
              <w:rPr>
                <w:bCs/>
              </w:rPr>
              <w:t xml:space="preserve">        28,418 </w:t>
            </w:r>
          </w:p>
        </w:tc>
        <w:tc>
          <w:tcPr>
            <w:tcW w:w="1667" w:type="dxa"/>
          </w:tcPr>
          <w:p w:rsidR="00815B64" w:rsidRPr="00C47E18" w:rsidRDefault="00815B64" w:rsidP="00442D9F">
            <w:pPr>
              <w:spacing w:before="120"/>
            </w:pPr>
            <w:r w:rsidRPr="00C47E18">
              <w:rPr>
                <w:lang w:val="pt-BR"/>
              </w:rPr>
              <w:t>tỷ đồng</w:t>
            </w:r>
          </w:p>
        </w:tc>
      </w:tr>
      <w:tr w:rsidR="00815B64" w:rsidRPr="00C47E18" w:rsidTr="001D49F3">
        <w:trPr>
          <w:trHeight w:val="375"/>
        </w:trPr>
        <w:tc>
          <w:tcPr>
            <w:tcW w:w="5245" w:type="dxa"/>
            <w:shd w:val="clear" w:color="auto" w:fill="auto"/>
            <w:noWrap/>
            <w:vAlign w:val="bottom"/>
            <w:hideMark/>
          </w:tcPr>
          <w:p w:rsidR="00815B64" w:rsidRPr="00C47E18" w:rsidRDefault="00127E4E" w:rsidP="00442D9F">
            <w:pPr>
              <w:spacing w:before="120"/>
            </w:pPr>
            <w:r>
              <w:t>(4).</w:t>
            </w:r>
            <w:r w:rsidR="00815B64" w:rsidRPr="00C47E18">
              <w:t xml:space="preserve"> Giao thông:</w:t>
            </w:r>
          </w:p>
        </w:tc>
        <w:tc>
          <w:tcPr>
            <w:tcW w:w="1559" w:type="dxa"/>
            <w:shd w:val="clear" w:color="auto" w:fill="auto"/>
            <w:noWrap/>
            <w:vAlign w:val="center"/>
            <w:hideMark/>
          </w:tcPr>
          <w:p w:rsidR="00815B64" w:rsidRPr="00815B64" w:rsidRDefault="00815B64" w:rsidP="00442D9F">
            <w:pPr>
              <w:spacing w:before="120"/>
              <w:rPr>
                <w:bCs/>
              </w:rPr>
            </w:pPr>
            <w:r w:rsidRPr="00815B64">
              <w:rPr>
                <w:bCs/>
              </w:rPr>
              <w:t xml:space="preserve">        85,255 </w:t>
            </w:r>
          </w:p>
        </w:tc>
        <w:tc>
          <w:tcPr>
            <w:tcW w:w="1667" w:type="dxa"/>
          </w:tcPr>
          <w:p w:rsidR="00815B64" w:rsidRPr="00C47E18" w:rsidRDefault="00815B64" w:rsidP="00442D9F">
            <w:pPr>
              <w:spacing w:before="120"/>
            </w:pPr>
            <w:r w:rsidRPr="00C47E18">
              <w:rPr>
                <w:lang w:val="pt-BR"/>
              </w:rPr>
              <w:t>tỷ đồng</w:t>
            </w:r>
          </w:p>
        </w:tc>
      </w:tr>
      <w:tr w:rsidR="00815B64" w:rsidRPr="00C47E18" w:rsidTr="001D49F3">
        <w:trPr>
          <w:trHeight w:val="375"/>
        </w:trPr>
        <w:tc>
          <w:tcPr>
            <w:tcW w:w="5245" w:type="dxa"/>
            <w:shd w:val="clear" w:color="auto" w:fill="auto"/>
            <w:noWrap/>
            <w:vAlign w:val="bottom"/>
            <w:hideMark/>
          </w:tcPr>
          <w:p w:rsidR="00815B64" w:rsidRPr="00C47E18" w:rsidRDefault="00127E4E" w:rsidP="00442D9F">
            <w:pPr>
              <w:spacing w:before="120"/>
            </w:pPr>
            <w:r>
              <w:lastRenderedPageBreak/>
              <w:t>(5).</w:t>
            </w:r>
            <w:r w:rsidR="00815B64" w:rsidRPr="00C47E18">
              <w:t xml:space="preserve"> Cấp nước, thoát nước và xử lý nước thải,  rác thải:</w:t>
            </w:r>
          </w:p>
        </w:tc>
        <w:tc>
          <w:tcPr>
            <w:tcW w:w="1559" w:type="dxa"/>
            <w:shd w:val="clear" w:color="auto" w:fill="auto"/>
            <w:noWrap/>
            <w:vAlign w:val="center"/>
            <w:hideMark/>
          </w:tcPr>
          <w:p w:rsidR="00815B64" w:rsidRPr="00815B64" w:rsidRDefault="00815B64" w:rsidP="00442D9F">
            <w:pPr>
              <w:spacing w:before="120"/>
              <w:rPr>
                <w:bCs/>
              </w:rPr>
            </w:pPr>
            <w:r w:rsidRPr="00815B64">
              <w:rPr>
                <w:bCs/>
              </w:rPr>
              <w:t xml:space="preserve">        28,418 </w:t>
            </w:r>
          </w:p>
        </w:tc>
        <w:tc>
          <w:tcPr>
            <w:tcW w:w="1667" w:type="dxa"/>
            <w:vAlign w:val="center"/>
          </w:tcPr>
          <w:p w:rsidR="00815B64" w:rsidRPr="00C47E18" w:rsidRDefault="00815B64" w:rsidP="00442D9F">
            <w:pPr>
              <w:spacing w:before="120"/>
            </w:pPr>
            <w:r w:rsidRPr="00C47E18">
              <w:rPr>
                <w:lang w:val="pt-BR"/>
              </w:rPr>
              <w:t>tỷ đồng</w:t>
            </w:r>
          </w:p>
        </w:tc>
      </w:tr>
      <w:tr w:rsidR="00815B64" w:rsidRPr="00C47E18" w:rsidTr="001D49F3">
        <w:trPr>
          <w:trHeight w:val="375"/>
        </w:trPr>
        <w:tc>
          <w:tcPr>
            <w:tcW w:w="5245" w:type="dxa"/>
            <w:shd w:val="clear" w:color="auto" w:fill="auto"/>
            <w:noWrap/>
            <w:vAlign w:val="bottom"/>
            <w:hideMark/>
          </w:tcPr>
          <w:p w:rsidR="00815B64" w:rsidRPr="00C47E18" w:rsidRDefault="00127E4E" w:rsidP="00442D9F">
            <w:pPr>
              <w:spacing w:before="120"/>
            </w:pPr>
            <w:r>
              <w:t>(6).</w:t>
            </w:r>
            <w:r w:rsidR="00815B64" w:rsidRPr="00C47E18">
              <w:t xml:space="preserve"> Kho tàng:</w:t>
            </w:r>
          </w:p>
        </w:tc>
        <w:tc>
          <w:tcPr>
            <w:tcW w:w="1559" w:type="dxa"/>
            <w:shd w:val="clear" w:color="auto" w:fill="auto"/>
            <w:noWrap/>
            <w:vAlign w:val="center"/>
            <w:hideMark/>
          </w:tcPr>
          <w:p w:rsidR="00815B64" w:rsidRPr="00815B64" w:rsidRDefault="00815B64" w:rsidP="00442D9F">
            <w:pPr>
              <w:spacing w:before="120"/>
              <w:rPr>
                <w:bCs/>
              </w:rPr>
            </w:pPr>
            <w:r w:rsidRPr="00815B64">
              <w:rPr>
                <w:bCs/>
              </w:rPr>
              <w:t xml:space="preserve">          5,684 </w:t>
            </w:r>
          </w:p>
        </w:tc>
        <w:tc>
          <w:tcPr>
            <w:tcW w:w="1667" w:type="dxa"/>
          </w:tcPr>
          <w:p w:rsidR="00815B64" w:rsidRPr="00C47E18" w:rsidRDefault="00815B64" w:rsidP="00442D9F">
            <w:pPr>
              <w:spacing w:before="120"/>
            </w:pPr>
            <w:r w:rsidRPr="00C47E18">
              <w:rPr>
                <w:lang w:val="pt-BR"/>
              </w:rPr>
              <w:t>tỷ đồng</w:t>
            </w:r>
          </w:p>
        </w:tc>
      </w:tr>
      <w:tr w:rsidR="00815B64" w:rsidRPr="00C47E18" w:rsidTr="001D49F3">
        <w:trPr>
          <w:trHeight w:val="375"/>
        </w:trPr>
        <w:tc>
          <w:tcPr>
            <w:tcW w:w="5245" w:type="dxa"/>
            <w:shd w:val="clear" w:color="auto" w:fill="auto"/>
            <w:noWrap/>
            <w:vAlign w:val="bottom"/>
            <w:hideMark/>
          </w:tcPr>
          <w:p w:rsidR="00815B64" w:rsidRPr="00C47E18" w:rsidRDefault="00127E4E" w:rsidP="00442D9F">
            <w:pPr>
              <w:spacing w:before="120"/>
            </w:pPr>
            <w:r>
              <w:t>(7).</w:t>
            </w:r>
            <w:r w:rsidR="00815B64" w:rsidRPr="00C47E18">
              <w:t xml:space="preserve"> Văn hóa - Thể thao:</w:t>
            </w:r>
          </w:p>
        </w:tc>
        <w:tc>
          <w:tcPr>
            <w:tcW w:w="1559" w:type="dxa"/>
            <w:shd w:val="clear" w:color="auto" w:fill="auto"/>
            <w:noWrap/>
            <w:vAlign w:val="center"/>
            <w:hideMark/>
          </w:tcPr>
          <w:p w:rsidR="00815B64" w:rsidRPr="00815B64" w:rsidRDefault="00815B64" w:rsidP="00442D9F">
            <w:pPr>
              <w:spacing w:before="120"/>
              <w:rPr>
                <w:bCs/>
              </w:rPr>
            </w:pPr>
            <w:r w:rsidRPr="00815B64">
              <w:rPr>
                <w:bCs/>
              </w:rPr>
              <w:t xml:space="preserve">        25,577 </w:t>
            </w:r>
          </w:p>
        </w:tc>
        <w:tc>
          <w:tcPr>
            <w:tcW w:w="1667" w:type="dxa"/>
          </w:tcPr>
          <w:p w:rsidR="00815B64" w:rsidRPr="00C47E18" w:rsidRDefault="00815B64" w:rsidP="00442D9F">
            <w:pPr>
              <w:spacing w:before="120"/>
            </w:pPr>
            <w:r w:rsidRPr="00C47E18">
              <w:rPr>
                <w:lang w:val="pt-BR"/>
              </w:rPr>
              <w:t>tỷ đồng</w:t>
            </w:r>
          </w:p>
        </w:tc>
      </w:tr>
      <w:tr w:rsidR="00815B64" w:rsidRPr="00C47E18" w:rsidTr="001D49F3">
        <w:trPr>
          <w:trHeight w:val="375"/>
        </w:trPr>
        <w:tc>
          <w:tcPr>
            <w:tcW w:w="5245" w:type="dxa"/>
            <w:shd w:val="clear" w:color="auto" w:fill="auto"/>
            <w:noWrap/>
            <w:vAlign w:val="bottom"/>
            <w:hideMark/>
          </w:tcPr>
          <w:p w:rsidR="00815B64" w:rsidRPr="00C47E18" w:rsidRDefault="00127E4E" w:rsidP="00442D9F">
            <w:pPr>
              <w:spacing w:before="120"/>
            </w:pPr>
            <w:r>
              <w:t>(8).</w:t>
            </w:r>
            <w:r w:rsidR="00815B64" w:rsidRPr="00C47E18">
              <w:t xml:space="preserve"> Khoa học, công nghệ:</w:t>
            </w:r>
          </w:p>
        </w:tc>
        <w:tc>
          <w:tcPr>
            <w:tcW w:w="1559" w:type="dxa"/>
            <w:shd w:val="clear" w:color="auto" w:fill="auto"/>
            <w:noWrap/>
            <w:vAlign w:val="center"/>
            <w:hideMark/>
          </w:tcPr>
          <w:p w:rsidR="00815B64" w:rsidRPr="00815B64" w:rsidRDefault="00815B64" w:rsidP="00442D9F">
            <w:pPr>
              <w:spacing w:before="120"/>
              <w:rPr>
                <w:bCs/>
              </w:rPr>
            </w:pPr>
            <w:r w:rsidRPr="00815B64">
              <w:rPr>
                <w:bCs/>
              </w:rPr>
              <w:t xml:space="preserve">        56,837 </w:t>
            </w:r>
          </w:p>
        </w:tc>
        <w:tc>
          <w:tcPr>
            <w:tcW w:w="1667" w:type="dxa"/>
          </w:tcPr>
          <w:p w:rsidR="00815B64" w:rsidRPr="00C47E18" w:rsidRDefault="00815B64" w:rsidP="00442D9F">
            <w:pPr>
              <w:spacing w:before="120"/>
            </w:pPr>
            <w:r w:rsidRPr="00C47E18">
              <w:rPr>
                <w:lang w:val="pt-BR"/>
              </w:rPr>
              <w:t>tỷ đồng</w:t>
            </w:r>
          </w:p>
        </w:tc>
      </w:tr>
      <w:tr w:rsidR="00815B64" w:rsidRPr="00C47E18" w:rsidTr="001D49F3">
        <w:trPr>
          <w:trHeight w:val="375"/>
        </w:trPr>
        <w:tc>
          <w:tcPr>
            <w:tcW w:w="5245" w:type="dxa"/>
            <w:shd w:val="clear" w:color="auto" w:fill="auto"/>
            <w:noWrap/>
            <w:vAlign w:val="bottom"/>
            <w:hideMark/>
          </w:tcPr>
          <w:p w:rsidR="00815B64" w:rsidRPr="00C47E18" w:rsidRDefault="00127E4E" w:rsidP="00442D9F">
            <w:pPr>
              <w:spacing w:before="120"/>
            </w:pPr>
            <w:r>
              <w:t>(9).</w:t>
            </w:r>
            <w:r w:rsidR="00815B64" w:rsidRPr="00C47E18">
              <w:t xml:space="preserve"> Công nghệ thông tin và Truyền thông:</w:t>
            </w:r>
          </w:p>
        </w:tc>
        <w:tc>
          <w:tcPr>
            <w:tcW w:w="1559" w:type="dxa"/>
            <w:shd w:val="clear" w:color="auto" w:fill="auto"/>
            <w:noWrap/>
            <w:vAlign w:val="center"/>
            <w:hideMark/>
          </w:tcPr>
          <w:p w:rsidR="00815B64" w:rsidRPr="00815B64" w:rsidRDefault="00815B64" w:rsidP="00442D9F">
            <w:pPr>
              <w:spacing w:before="120"/>
              <w:rPr>
                <w:bCs/>
              </w:rPr>
            </w:pPr>
            <w:r w:rsidRPr="00815B64">
              <w:rPr>
                <w:bCs/>
              </w:rPr>
              <w:t xml:space="preserve">        22,735 </w:t>
            </w:r>
          </w:p>
        </w:tc>
        <w:tc>
          <w:tcPr>
            <w:tcW w:w="1667" w:type="dxa"/>
          </w:tcPr>
          <w:p w:rsidR="00815B64" w:rsidRPr="00C47E18" w:rsidRDefault="00815B64" w:rsidP="00442D9F">
            <w:pPr>
              <w:spacing w:before="120"/>
            </w:pPr>
            <w:r w:rsidRPr="00C47E18">
              <w:rPr>
                <w:lang w:val="pt-BR"/>
              </w:rPr>
              <w:t>tỷ đồng</w:t>
            </w:r>
          </w:p>
        </w:tc>
      </w:tr>
      <w:tr w:rsidR="00815B64" w:rsidRPr="00C47E18" w:rsidTr="00DE4904">
        <w:trPr>
          <w:trHeight w:val="375"/>
        </w:trPr>
        <w:tc>
          <w:tcPr>
            <w:tcW w:w="5245" w:type="dxa"/>
            <w:shd w:val="clear" w:color="auto" w:fill="auto"/>
            <w:noWrap/>
            <w:vAlign w:val="bottom"/>
            <w:hideMark/>
          </w:tcPr>
          <w:p w:rsidR="00815B64" w:rsidRPr="00C47E18" w:rsidRDefault="00127E4E" w:rsidP="00442D9F">
            <w:pPr>
              <w:spacing w:before="120"/>
            </w:pPr>
            <w:r>
              <w:t>(10).</w:t>
            </w:r>
            <w:r w:rsidR="00815B64" w:rsidRPr="00C47E18">
              <w:t xml:space="preserve"> Giáo dục, đào tạo và giáo dục nghề nghiệp:</w:t>
            </w:r>
          </w:p>
        </w:tc>
        <w:tc>
          <w:tcPr>
            <w:tcW w:w="1559" w:type="dxa"/>
            <w:shd w:val="clear" w:color="auto" w:fill="auto"/>
            <w:noWrap/>
            <w:vAlign w:val="center"/>
            <w:hideMark/>
          </w:tcPr>
          <w:p w:rsidR="00815B64" w:rsidRPr="00815B64" w:rsidRDefault="00815B64" w:rsidP="00442D9F">
            <w:pPr>
              <w:spacing w:before="120"/>
              <w:jc w:val="right"/>
              <w:rPr>
                <w:bCs/>
              </w:rPr>
            </w:pPr>
            <w:r w:rsidRPr="00815B64">
              <w:rPr>
                <w:bCs/>
              </w:rPr>
              <w:t>82,413</w:t>
            </w:r>
          </w:p>
        </w:tc>
        <w:tc>
          <w:tcPr>
            <w:tcW w:w="1667" w:type="dxa"/>
            <w:vAlign w:val="center"/>
          </w:tcPr>
          <w:p w:rsidR="00815B64" w:rsidRPr="00C47E18" w:rsidRDefault="00815B64" w:rsidP="00442D9F">
            <w:pPr>
              <w:spacing w:before="120"/>
            </w:pPr>
            <w:r w:rsidRPr="00C47E18">
              <w:rPr>
                <w:lang w:val="pt-BR"/>
              </w:rPr>
              <w:t>tỷ đồng</w:t>
            </w:r>
          </w:p>
        </w:tc>
      </w:tr>
      <w:tr w:rsidR="00815B64" w:rsidRPr="00C47E18" w:rsidTr="00DE4904">
        <w:trPr>
          <w:trHeight w:val="375"/>
        </w:trPr>
        <w:tc>
          <w:tcPr>
            <w:tcW w:w="5245" w:type="dxa"/>
            <w:shd w:val="clear" w:color="auto" w:fill="auto"/>
            <w:noWrap/>
            <w:vAlign w:val="bottom"/>
            <w:hideMark/>
          </w:tcPr>
          <w:p w:rsidR="00815B64" w:rsidRPr="00C47E18" w:rsidRDefault="00866B30" w:rsidP="00442D9F">
            <w:pPr>
              <w:spacing w:before="120"/>
            </w:pPr>
            <w:r>
              <w:t>(11).</w:t>
            </w:r>
            <w:r w:rsidR="00815B64" w:rsidRPr="00C47E18">
              <w:t xml:space="preserve"> Y tế, dân số và vệ sinh an toàn thực phẩm:</w:t>
            </w:r>
          </w:p>
        </w:tc>
        <w:tc>
          <w:tcPr>
            <w:tcW w:w="1559" w:type="dxa"/>
            <w:shd w:val="clear" w:color="auto" w:fill="auto"/>
            <w:noWrap/>
            <w:vAlign w:val="center"/>
            <w:hideMark/>
          </w:tcPr>
          <w:p w:rsidR="00815B64" w:rsidRPr="00815B64" w:rsidRDefault="00815B64" w:rsidP="00442D9F">
            <w:pPr>
              <w:spacing w:before="120"/>
              <w:jc w:val="right"/>
              <w:rPr>
                <w:bCs/>
              </w:rPr>
            </w:pPr>
            <w:r w:rsidRPr="00815B64">
              <w:rPr>
                <w:bCs/>
              </w:rPr>
              <w:t>51,153</w:t>
            </w:r>
          </w:p>
        </w:tc>
        <w:tc>
          <w:tcPr>
            <w:tcW w:w="1667" w:type="dxa"/>
            <w:vAlign w:val="center"/>
          </w:tcPr>
          <w:p w:rsidR="00815B64" w:rsidRPr="00C47E18" w:rsidRDefault="00815B64" w:rsidP="00442D9F">
            <w:pPr>
              <w:spacing w:before="120"/>
            </w:pPr>
            <w:r w:rsidRPr="00C47E18">
              <w:rPr>
                <w:lang w:val="pt-BR"/>
              </w:rPr>
              <w:t>tỷ đồng</w:t>
            </w:r>
          </w:p>
        </w:tc>
      </w:tr>
      <w:tr w:rsidR="00815B64" w:rsidRPr="00C47E18" w:rsidTr="001D49F3">
        <w:trPr>
          <w:trHeight w:val="375"/>
        </w:trPr>
        <w:tc>
          <w:tcPr>
            <w:tcW w:w="5245" w:type="dxa"/>
            <w:shd w:val="clear" w:color="auto" w:fill="auto"/>
            <w:noWrap/>
            <w:vAlign w:val="bottom"/>
            <w:hideMark/>
          </w:tcPr>
          <w:p w:rsidR="00815B64" w:rsidRPr="00C47E18" w:rsidRDefault="00866B30" w:rsidP="00442D9F">
            <w:pPr>
              <w:spacing w:before="120"/>
            </w:pPr>
            <w:r>
              <w:t>(12).</w:t>
            </w:r>
            <w:r w:rsidR="00815B64" w:rsidRPr="00C47E18">
              <w:t xml:space="preserve"> Xã hội:</w:t>
            </w:r>
          </w:p>
        </w:tc>
        <w:tc>
          <w:tcPr>
            <w:tcW w:w="1559" w:type="dxa"/>
            <w:shd w:val="clear" w:color="auto" w:fill="auto"/>
            <w:noWrap/>
            <w:vAlign w:val="center"/>
            <w:hideMark/>
          </w:tcPr>
          <w:p w:rsidR="00815B64" w:rsidRPr="00815B64" w:rsidRDefault="00815B64" w:rsidP="00442D9F">
            <w:pPr>
              <w:spacing w:before="120"/>
              <w:rPr>
                <w:bCs/>
              </w:rPr>
            </w:pPr>
            <w:r w:rsidRPr="00815B64">
              <w:rPr>
                <w:bCs/>
              </w:rPr>
              <w:t xml:space="preserve">        11,367 </w:t>
            </w:r>
          </w:p>
        </w:tc>
        <w:tc>
          <w:tcPr>
            <w:tcW w:w="1667" w:type="dxa"/>
          </w:tcPr>
          <w:p w:rsidR="00815B64" w:rsidRPr="00C47E18" w:rsidRDefault="00815B64" w:rsidP="00442D9F">
            <w:pPr>
              <w:spacing w:before="120"/>
            </w:pPr>
            <w:r w:rsidRPr="00C47E18">
              <w:rPr>
                <w:lang w:val="pt-BR"/>
              </w:rPr>
              <w:t>tỷ đồng</w:t>
            </w:r>
          </w:p>
        </w:tc>
      </w:tr>
      <w:tr w:rsidR="00815B64" w:rsidRPr="00C47E18" w:rsidTr="001D49F3">
        <w:trPr>
          <w:trHeight w:val="375"/>
        </w:trPr>
        <w:tc>
          <w:tcPr>
            <w:tcW w:w="5245" w:type="dxa"/>
            <w:shd w:val="clear" w:color="auto" w:fill="auto"/>
            <w:noWrap/>
            <w:vAlign w:val="bottom"/>
            <w:hideMark/>
          </w:tcPr>
          <w:p w:rsidR="00815B64" w:rsidRPr="00C47E18" w:rsidRDefault="00866B30" w:rsidP="00442D9F">
            <w:pPr>
              <w:spacing w:before="120"/>
            </w:pPr>
            <w:r>
              <w:t>(13).</w:t>
            </w:r>
            <w:r w:rsidR="00815B64" w:rsidRPr="00C47E18">
              <w:t xml:space="preserve"> Tài nguyên - môi trường:</w:t>
            </w:r>
          </w:p>
        </w:tc>
        <w:tc>
          <w:tcPr>
            <w:tcW w:w="1559" w:type="dxa"/>
            <w:shd w:val="clear" w:color="auto" w:fill="auto"/>
            <w:noWrap/>
            <w:vAlign w:val="center"/>
            <w:hideMark/>
          </w:tcPr>
          <w:p w:rsidR="00815B64" w:rsidRPr="00815B64" w:rsidRDefault="00815B64" w:rsidP="00442D9F">
            <w:pPr>
              <w:spacing w:before="120"/>
              <w:rPr>
                <w:bCs/>
              </w:rPr>
            </w:pPr>
            <w:r w:rsidRPr="00815B64">
              <w:rPr>
                <w:bCs/>
              </w:rPr>
              <w:t xml:space="preserve">        11,367 </w:t>
            </w:r>
          </w:p>
        </w:tc>
        <w:tc>
          <w:tcPr>
            <w:tcW w:w="1667" w:type="dxa"/>
          </w:tcPr>
          <w:p w:rsidR="00815B64" w:rsidRPr="00C47E18" w:rsidRDefault="00815B64" w:rsidP="00442D9F">
            <w:pPr>
              <w:spacing w:before="120"/>
            </w:pPr>
            <w:r w:rsidRPr="00C47E18">
              <w:rPr>
                <w:lang w:val="pt-BR"/>
              </w:rPr>
              <w:t>tỷ đồng</w:t>
            </w:r>
          </w:p>
        </w:tc>
      </w:tr>
      <w:tr w:rsidR="00815B64" w:rsidRPr="00C47E18" w:rsidTr="001D49F3">
        <w:trPr>
          <w:trHeight w:val="375"/>
        </w:trPr>
        <w:tc>
          <w:tcPr>
            <w:tcW w:w="5245" w:type="dxa"/>
            <w:shd w:val="clear" w:color="auto" w:fill="auto"/>
            <w:noWrap/>
            <w:vAlign w:val="bottom"/>
            <w:hideMark/>
          </w:tcPr>
          <w:p w:rsidR="00815B64" w:rsidRPr="00C47E18" w:rsidRDefault="00866B30" w:rsidP="00442D9F">
            <w:pPr>
              <w:spacing w:before="120"/>
            </w:pPr>
            <w:r>
              <w:t>(14).</w:t>
            </w:r>
            <w:r w:rsidR="00815B64" w:rsidRPr="00C47E18">
              <w:t xml:space="preserve"> Quản lý nhà nước:</w:t>
            </w:r>
          </w:p>
        </w:tc>
        <w:tc>
          <w:tcPr>
            <w:tcW w:w="1559" w:type="dxa"/>
            <w:shd w:val="clear" w:color="auto" w:fill="auto"/>
            <w:noWrap/>
            <w:vAlign w:val="center"/>
            <w:hideMark/>
          </w:tcPr>
          <w:p w:rsidR="00815B64" w:rsidRPr="00815B64" w:rsidRDefault="00815B64" w:rsidP="00442D9F">
            <w:pPr>
              <w:spacing w:before="120"/>
              <w:rPr>
                <w:bCs/>
              </w:rPr>
            </w:pPr>
            <w:r w:rsidRPr="00815B64">
              <w:rPr>
                <w:bCs/>
              </w:rPr>
              <w:t xml:space="preserve">        31,260 </w:t>
            </w:r>
          </w:p>
        </w:tc>
        <w:tc>
          <w:tcPr>
            <w:tcW w:w="1667" w:type="dxa"/>
          </w:tcPr>
          <w:p w:rsidR="00815B64" w:rsidRPr="00C47E18" w:rsidRDefault="00815B64" w:rsidP="00442D9F">
            <w:pPr>
              <w:spacing w:before="120"/>
            </w:pPr>
            <w:r w:rsidRPr="00C47E18">
              <w:rPr>
                <w:lang w:val="pt-BR"/>
              </w:rPr>
              <w:t>tỷ đồng</w:t>
            </w:r>
          </w:p>
        </w:tc>
      </w:tr>
      <w:tr w:rsidR="00815B64" w:rsidRPr="00C47E18" w:rsidTr="001D49F3">
        <w:trPr>
          <w:trHeight w:val="375"/>
        </w:trPr>
        <w:tc>
          <w:tcPr>
            <w:tcW w:w="5245" w:type="dxa"/>
            <w:shd w:val="clear" w:color="auto" w:fill="auto"/>
            <w:noWrap/>
            <w:vAlign w:val="bottom"/>
            <w:hideMark/>
          </w:tcPr>
          <w:p w:rsidR="00815B64" w:rsidRPr="00C47E18" w:rsidRDefault="00866B30" w:rsidP="00442D9F">
            <w:pPr>
              <w:spacing w:before="120"/>
            </w:pPr>
            <w:r>
              <w:t>(15).</w:t>
            </w:r>
            <w:r w:rsidR="00815B64" w:rsidRPr="00C47E18">
              <w:t xml:space="preserve"> Quốc phòng - an ninh:</w:t>
            </w:r>
          </w:p>
        </w:tc>
        <w:tc>
          <w:tcPr>
            <w:tcW w:w="1559" w:type="dxa"/>
            <w:shd w:val="clear" w:color="auto" w:fill="auto"/>
            <w:noWrap/>
            <w:vAlign w:val="center"/>
            <w:hideMark/>
          </w:tcPr>
          <w:p w:rsidR="00815B64" w:rsidRPr="00815B64" w:rsidRDefault="00815B64" w:rsidP="00442D9F">
            <w:pPr>
              <w:spacing w:before="120"/>
              <w:rPr>
                <w:bCs/>
              </w:rPr>
            </w:pPr>
            <w:r w:rsidRPr="00815B64">
              <w:rPr>
                <w:bCs/>
              </w:rPr>
              <w:t xml:space="preserve">        34,102 </w:t>
            </w:r>
          </w:p>
        </w:tc>
        <w:tc>
          <w:tcPr>
            <w:tcW w:w="1667" w:type="dxa"/>
          </w:tcPr>
          <w:p w:rsidR="00815B64" w:rsidRPr="00C47E18" w:rsidRDefault="00815B64" w:rsidP="00442D9F">
            <w:pPr>
              <w:spacing w:before="120"/>
            </w:pPr>
            <w:r w:rsidRPr="00C47E18">
              <w:rPr>
                <w:lang w:val="pt-BR"/>
              </w:rPr>
              <w:t>tỷ đồng</w:t>
            </w:r>
          </w:p>
        </w:tc>
      </w:tr>
    </w:tbl>
    <w:p w:rsidR="00446B80" w:rsidRPr="00C47E18" w:rsidRDefault="00074AAB" w:rsidP="00442D9F">
      <w:pPr>
        <w:spacing w:before="120"/>
        <w:ind w:firstLine="720"/>
        <w:jc w:val="both"/>
        <w:rPr>
          <w:spacing w:val="4"/>
          <w:lang w:val="pt-BR"/>
        </w:rPr>
      </w:pPr>
      <w:r>
        <w:rPr>
          <w:lang w:val="nl-NL"/>
        </w:rPr>
        <w:t>b.2</w:t>
      </w:r>
      <w:r w:rsidR="00F2792E">
        <w:rPr>
          <w:lang w:val="nl-NL"/>
        </w:rPr>
        <w:t>.</w:t>
      </w:r>
      <w:r w:rsidR="00446B80" w:rsidRPr="00C47E18">
        <w:rPr>
          <w:lang w:val="nl-NL"/>
        </w:rPr>
        <w:t xml:space="preserve"> </w:t>
      </w:r>
      <w:r w:rsidR="00446B80" w:rsidRPr="00C47E18">
        <w:rPr>
          <w:spacing w:val="4"/>
          <w:lang w:val="pt-BR"/>
        </w:rPr>
        <w:t>Các huyệ</w:t>
      </w:r>
      <w:r w:rsidR="001D49F3">
        <w:rPr>
          <w:spacing w:val="4"/>
          <w:lang w:val="pt-BR"/>
        </w:rPr>
        <w:t>n, thị xã, thành phố (50%) là</w:t>
      </w:r>
      <w:r w:rsidR="00446B80" w:rsidRPr="00C47E18">
        <w:rPr>
          <w:spacing w:val="4"/>
          <w:lang w:val="pt-BR"/>
        </w:rPr>
        <w:t xml:space="preserve"> </w:t>
      </w:r>
      <w:r w:rsidR="0016551C">
        <w:rPr>
          <w:spacing w:val="4"/>
          <w:lang w:val="pt-BR"/>
        </w:rPr>
        <w:t>568,369</w:t>
      </w:r>
      <w:r w:rsidR="00446B80" w:rsidRPr="00C47E18">
        <w:rPr>
          <w:spacing w:val="4"/>
          <w:lang w:val="pt-BR"/>
        </w:rPr>
        <w:t xml:space="preserve"> tỷ đồng, được phân bổ chi tiết cho các huyện th</w:t>
      </w:r>
      <w:r w:rsidR="00446B80">
        <w:rPr>
          <w:spacing w:val="4"/>
          <w:lang w:val="pt-BR"/>
        </w:rPr>
        <w:t>eo số điểm tiêu chí</w:t>
      </w:r>
      <w:r w:rsidR="00446B80" w:rsidRPr="00C47E18">
        <w:rPr>
          <w:spacing w:val="4"/>
          <w:lang w:val="pt-BR"/>
        </w:rPr>
        <w:t xml:space="preserve"> như sau:</w:t>
      </w:r>
    </w:p>
    <w:tbl>
      <w:tblPr>
        <w:tblW w:w="8195" w:type="dxa"/>
        <w:tblInd w:w="817" w:type="dxa"/>
        <w:tblLook w:val="04A0" w:firstRow="1" w:lastRow="0" w:firstColumn="1" w:lastColumn="0" w:noHBand="0" w:noVBand="1"/>
      </w:tblPr>
      <w:tblGrid>
        <w:gridCol w:w="3659"/>
        <w:gridCol w:w="2835"/>
        <w:gridCol w:w="1701"/>
      </w:tblGrid>
      <w:tr w:rsidR="00912AC9" w:rsidRPr="00C47E18" w:rsidTr="00912AC9">
        <w:trPr>
          <w:trHeight w:val="300"/>
        </w:trPr>
        <w:tc>
          <w:tcPr>
            <w:tcW w:w="3659" w:type="dxa"/>
            <w:shd w:val="clear" w:color="auto" w:fill="auto"/>
            <w:vAlign w:val="center"/>
            <w:hideMark/>
          </w:tcPr>
          <w:p w:rsidR="00912AC9" w:rsidRPr="00C47E18" w:rsidRDefault="00912AC9" w:rsidP="00442D9F">
            <w:pPr>
              <w:spacing w:before="120"/>
              <w:rPr>
                <w:lang w:val="pt-BR"/>
              </w:rPr>
            </w:pPr>
            <w:r>
              <w:rPr>
                <w:lang w:val="pt-BR"/>
              </w:rPr>
              <w:t xml:space="preserve">(1). </w:t>
            </w:r>
            <w:r w:rsidRPr="00C47E18">
              <w:rPr>
                <w:lang w:val="pt-BR"/>
              </w:rPr>
              <w:t>Cẩm Xuyên:</w:t>
            </w:r>
          </w:p>
        </w:tc>
        <w:tc>
          <w:tcPr>
            <w:tcW w:w="2835" w:type="dxa"/>
            <w:shd w:val="clear" w:color="auto" w:fill="auto"/>
            <w:noWrap/>
            <w:vAlign w:val="center"/>
            <w:hideMark/>
          </w:tcPr>
          <w:p w:rsidR="00912AC9" w:rsidRDefault="00912AC9" w:rsidP="00442D9F">
            <w:pPr>
              <w:spacing w:before="120"/>
              <w:jc w:val="right"/>
            </w:pPr>
            <w:r>
              <w:t xml:space="preserve">         44,504 </w:t>
            </w:r>
          </w:p>
        </w:tc>
        <w:tc>
          <w:tcPr>
            <w:tcW w:w="1701" w:type="dxa"/>
            <w:shd w:val="clear" w:color="auto" w:fill="auto"/>
            <w:noWrap/>
            <w:vAlign w:val="center"/>
            <w:hideMark/>
          </w:tcPr>
          <w:p w:rsidR="00912AC9" w:rsidRPr="00C47E18" w:rsidRDefault="00912AC9" w:rsidP="00442D9F">
            <w:pPr>
              <w:spacing w:before="120"/>
              <w:rPr>
                <w:lang w:val="pt-BR"/>
              </w:rPr>
            </w:pPr>
            <w:r w:rsidRPr="00C47E18">
              <w:rPr>
                <w:lang w:val="pt-BR"/>
              </w:rPr>
              <w:t>tỷ đồng</w:t>
            </w:r>
          </w:p>
        </w:tc>
      </w:tr>
      <w:tr w:rsidR="00912AC9" w:rsidRPr="00C47E18" w:rsidTr="00912AC9">
        <w:trPr>
          <w:trHeight w:val="300"/>
        </w:trPr>
        <w:tc>
          <w:tcPr>
            <w:tcW w:w="3659" w:type="dxa"/>
            <w:shd w:val="clear" w:color="auto" w:fill="auto"/>
            <w:vAlign w:val="center"/>
            <w:hideMark/>
          </w:tcPr>
          <w:p w:rsidR="00912AC9" w:rsidRPr="00C47E18" w:rsidRDefault="009B49A2" w:rsidP="00442D9F">
            <w:pPr>
              <w:spacing w:before="120"/>
              <w:rPr>
                <w:lang w:val="pt-BR"/>
              </w:rPr>
            </w:pPr>
            <w:r>
              <w:rPr>
                <w:lang w:val="pt-BR"/>
              </w:rPr>
              <w:t>(2).</w:t>
            </w:r>
            <w:r w:rsidR="00912AC9">
              <w:rPr>
                <w:lang w:val="pt-BR"/>
              </w:rPr>
              <w:t xml:space="preserve"> </w:t>
            </w:r>
            <w:r w:rsidR="00912AC9" w:rsidRPr="00C47E18">
              <w:rPr>
                <w:lang w:val="pt-BR"/>
              </w:rPr>
              <w:t>Can Lộc:</w:t>
            </w:r>
          </w:p>
        </w:tc>
        <w:tc>
          <w:tcPr>
            <w:tcW w:w="2835" w:type="dxa"/>
            <w:shd w:val="clear" w:color="auto" w:fill="auto"/>
            <w:noWrap/>
            <w:vAlign w:val="center"/>
            <w:hideMark/>
          </w:tcPr>
          <w:p w:rsidR="00912AC9" w:rsidRDefault="00912AC9" w:rsidP="00442D9F">
            <w:pPr>
              <w:spacing w:before="120"/>
              <w:jc w:val="right"/>
            </w:pPr>
            <w:r>
              <w:t xml:space="preserve">         36,948 </w:t>
            </w:r>
          </w:p>
        </w:tc>
        <w:tc>
          <w:tcPr>
            <w:tcW w:w="1701" w:type="dxa"/>
            <w:shd w:val="clear" w:color="auto" w:fill="auto"/>
            <w:noWrap/>
            <w:vAlign w:val="center"/>
            <w:hideMark/>
          </w:tcPr>
          <w:p w:rsidR="00912AC9" w:rsidRPr="00C47E18" w:rsidRDefault="00912AC9" w:rsidP="00442D9F">
            <w:pPr>
              <w:spacing w:before="120"/>
              <w:rPr>
                <w:lang w:val="pt-BR"/>
              </w:rPr>
            </w:pPr>
            <w:r w:rsidRPr="00C47E18">
              <w:rPr>
                <w:lang w:val="pt-BR"/>
              </w:rPr>
              <w:t>tỷ đồng</w:t>
            </w:r>
          </w:p>
        </w:tc>
      </w:tr>
      <w:tr w:rsidR="00912AC9" w:rsidRPr="00C47E18" w:rsidTr="00912AC9">
        <w:trPr>
          <w:trHeight w:val="300"/>
        </w:trPr>
        <w:tc>
          <w:tcPr>
            <w:tcW w:w="3659" w:type="dxa"/>
            <w:shd w:val="clear" w:color="auto" w:fill="auto"/>
            <w:vAlign w:val="center"/>
            <w:hideMark/>
          </w:tcPr>
          <w:p w:rsidR="00912AC9" w:rsidRPr="00C47E18" w:rsidRDefault="009B49A2" w:rsidP="00442D9F">
            <w:pPr>
              <w:spacing w:before="120"/>
              <w:rPr>
                <w:lang w:val="pt-BR"/>
              </w:rPr>
            </w:pPr>
            <w:r>
              <w:rPr>
                <w:lang w:val="pt-BR"/>
              </w:rPr>
              <w:t xml:space="preserve">(3). </w:t>
            </w:r>
            <w:r w:rsidR="00912AC9" w:rsidRPr="00C47E18">
              <w:rPr>
                <w:lang w:val="pt-BR"/>
              </w:rPr>
              <w:t>Đức Thọ:</w:t>
            </w:r>
          </w:p>
        </w:tc>
        <w:tc>
          <w:tcPr>
            <w:tcW w:w="2835" w:type="dxa"/>
            <w:shd w:val="clear" w:color="auto" w:fill="auto"/>
            <w:noWrap/>
            <w:vAlign w:val="center"/>
            <w:hideMark/>
          </w:tcPr>
          <w:p w:rsidR="00912AC9" w:rsidRDefault="00912AC9" w:rsidP="00442D9F">
            <w:pPr>
              <w:spacing w:before="120"/>
              <w:jc w:val="right"/>
            </w:pPr>
            <w:r>
              <w:t xml:space="preserve">         35,172 </w:t>
            </w:r>
          </w:p>
        </w:tc>
        <w:tc>
          <w:tcPr>
            <w:tcW w:w="1701" w:type="dxa"/>
            <w:shd w:val="clear" w:color="auto" w:fill="auto"/>
            <w:noWrap/>
            <w:vAlign w:val="center"/>
            <w:hideMark/>
          </w:tcPr>
          <w:p w:rsidR="00912AC9" w:rsidRPr="00C47E18" w:rsidRDefault="00912AC9" w:rsidP="00442D9F">
            <w:pPr>
              <w:spacing w:before="120"/>
              <w:rPr>
                <w:lang w:val="pt-BR"/>
              </w:rPr>
            </w:pPr>
            <w:r w:rsidRPr="00C47E18">
              <w:rPr>
                <w:lang w:val="pt-BR"/>
              </w:rPr>
              <w:t>tỷ đồng</w:t>
            </w:r>
          </w:p>
        </w:tc>
      </w:tr>
      <w:tr w:rsidR="00912AC9" w:rsidRPr="00C47E18" w:rsidTr="00912AC9">
        <w:trPr>
          <w:trHeight w:val="300"/>
        </w:trPr>
        <w:tc>
          <w:tcPr>
            <w:tcW w:w="3659" w:type="dxa"/>
            <w:shd w:val="clear" w:color="auto" w:fill="auto"/>
            <w:noWrap/>
            <w:vAlign w:val="center"/>
            <w:hideMark/>
          </w:tcPr>
          <w:p w:rsidR="00912AC9" w:rsidRPr="00C47E18" w:rsidRDefault="009B49A2" w:rsidP="00442D9F">
            <w:pPr>
              <w:spacing w:before="120"/>
              <w:rPr>
                <w:lang w:val="pt-BR"/>
              </w:rPr>
            </w:pPr>
            <w:r>
              <w:rPr>
                <w:lang w:val="pt-BR"/>
              </w:rPr>
              <w:t xml:space="preserve">(4). </w:t>
            </w:r>
            <w:r w:rsidR="00912AC9" w:rsidRPr="00C47E18">
              <w:rPr>
                <w:lang w:val="pt-BR"/>
              </w:rPr>
              <w:t>Hương Khê:</w:t>
            </w:r>
          </w:p>
        </w:tc>
        <w:tc>
          <w:tcPr>
            <w:tcW w:w="2835" w:type="dxa"/>
            <w:shd w:val="clear" w:color="auto" w:fill="auto"/>
            <w:noWrap/>
            <w:vAlign w:val="center"/>
            <w:hideMark/>
          </w:tcPr>
          <w:p w:rsidR="00912AC9" w:rsidRDefault="00912AC9" w:rsidP="00442D9F">
            <w:pPr>
              <w:spacing w:before="120"/>
              <w:jc w:val="right"/>
            </w:pPr>
            <w:r>
              <w:t xml:space="preserve">         52,044 </w:t>
            </w:r>
          </w:p>
        </w:tc>
        <w:tc>
          <w:tcPr>
            <w:tcW w:w="1701" w:type="dxa"/>
            <w:shd w:val="clear" w:color="auto" w:fill="auto"/>
            <w:noWrap/>
            <w:vAlign w:val="center"/>
            <w:hideMark/>
          </w:tcPr>
          <w:p w:rsidR="00912AC9" w:rsidRPr="00C47E18" w:rsidRDefault="00912AC9" w:rsidP="00442D9F">
            <w:pPr>
              <w:spacing w:before="120"/>
              <w:rPr>
                <w:lang w:val="pt-BR"/>
              </w:rPr>
            </w:pPr>
            <w:r w:rsidRPr="00C47E18">
              <w:rPr>
                <w:lang w:val="pt-BR"/>
              </w:rPr>
              <w:t>tỷ đồng</w:t>
            </w:r>
          </w:p>
        </w:tc>
      </w:tr>
      <w:tr w:rsidR="00912AC9" w:rsidRPr="00C47E18" w:rsidTr="00912AC9">
        <w:trPr>
          <w:trHeight w:val="300"/>
        </w:trPr>
        <w:tc>
          <w:tcPr>
            <w:tcW w:w="3659" w:type="dxa"/>
            <w:shd w:val="clear" w:color="auto" w:fill="auto"/>
            <w:vAlign w:val="center"/>
            <w:hideMark/>
          </w:tcPr>
          <w:p w:rsidR="00912AC9" w:rsidRPr="00C47E18" w:rsidRDefault="009B49A2" w:rsidP="00442D9F">
            <w:pPr>
              <w:spacing w:before="120"/>
              <w:rPr>
                <w:lang w:val="pt-BR"/>
              </w:rPr>
            </w:pPr>
            <w:r>
              <w:rPr>
                <w:lang w:val="pt-BR"/>
              </w:rPr>
              <w:t xml:space="preserve">(5). </w:t>
            </w:r>
            <w:r w:rsidR="00912AC9" w:rsidRPr="00C47E18">
              <w:rPr>
                <w:lang w:val="pt-BR"/>
              </w:rPr>
              <w:t>Hương Sơn:</w:t>
            </w:r>
          </w:p>
        </w:tc>
        <w:tc>
          <w:tcPr>
            <w:tcW w:w="2835" w:type="dxa"/>
            <w:shd w:val="clear" w:color="auto" w:fill="auto"/>
            <w:noWrap/>
            <w:vAlign w:val="center"/>
            <w:hideMark/>
          </w:tcPr>
          <w:p w:rsidR="00912AC9" w:rsidRDefault="00912AC9" w:rsidP="00442D9F">
            <w:pPr>
              <w:spacing w:before="120"/>
              <w:jc w:val="right"/>
            </w:pPr>
            <w:r>
              <w:t xml:space="preserve">         54,779 </w:t>
            </w:r>
          </w:p>
        </w:tc>
        <w:tc>
          <w:tcPr>
            <w:tcW w:w="1701" w:type="dxa"/>
            <w:shd w:val="clear" w:color="auto" w:fill="auto"/>
            <w:noWrap/>
            <w:vAlign w:val="center"/>
            <w:hideMark/>
          </w:tcPr>
          <w:p w:rsidR="00912AC9" w:rsidRPr="00C47E18" w:rsidRDefault="00912AC9" w:rsidP="00442D9F">
            <w:pPr>
              <w:spacing w:before="120"/>
              <w:rPr>
                <w:lang w:val="pt-BR"/>
              </w:rPr>
            </w:pPr>
            <w:r w:rsidRPr="00C47E18">
              <w:rPr>
                <w:lang w:val="pt-BR"/>
              </w:rPr>
              <w:t>tỷ đồng</w:t>
            </w:r>
          </w:p>
        </w:tc>
      </w:tr>
      <w:tr w:rsidR="00912AC9" w:rsidRPr="00C47E18" w:rsidTr="00912AC9">
        <w:trPr>
          <w:trHeight w:val="300"/>
        </w:trPr>
        <w:tc>
          <w:tcPr>
            <w:tcW w:w="3659" w:type="dxa"/>
            <w:shd w:val="clear" w:color="auto" w:fill="auto"/>
            <w:vAlign w:val="center"/>
            <w:hideMark/>
          </w:tcPr>
          <w:p w:rsidR="00912AC9" w:rsidRPr="00C47E18" w:rsidRDefault="009B49A2" w:rsidP="00442D9F">
            <w:pPr>
              <w:spacing w:before="120"/>
              <w:rPr>
                <w:lang w:val="pt-BR"/>
              </w:rPr>
            </w:pPr>
            <w:r>
              <w:rPr>
                <w:lang w:val="pt-BR"/>
              </w:rPr>
              <w:t xml:space="preserve">(6). </w:t>
            </w:r>
            <w:r w:rsidR="00912AC9" w:rsidRPr="00C47E18">
              <w:rPr>
                <w:lang w:val="pt-BR"/>
              </w:rPr>
              <w:t>Kỳ Anh:</w:t>
            </w:r>
          </w:p>
        </w:tc>
        <w:tc>
          <w:tcPr>
            <w:tcW w:w="2835" w:type="dxa"/>
            <w:shd w:val="clear" w:color="auto" w:fill="auto"/>
            <w:noWrap/>
            <w:vAlign w:val="center"/>
            <w:hideMark/>
          </w:tcPr>
          <w:p w:rsidR="00912AC9" w:rsidRDefault="00912AC9" w:rsidP="00442D9F">
            <w:pPr>
              <w:spacing w:before="120"/>
              <w:jc w:val="right"/>
            </w:pPr>
            <w:r>
              <w:t xml:space="preserve">         51,234 </w:t>
            </w:r>
          </w:p>
        </w:tc>
        <w:tc>
          <w:tcPr>
            <w:tcW w:w="1701" w:type="dxa"/>
            <w:shd w:val="clear" w:color="auto" w:fill="auto"/>
            <w:noWrap/>
            <w:vAlign w:val="center"/>
            <w:hideMark/>
          </w:tcPr>
          <w:p w:rsidR="00912AC9" w:rsidRPr="00C47E18" w:rsidRDefault="00912AC9" w:rsidP="00442D9F">
            <w:pPr>
              <w:spacing w:before="120"/>
              <w:rPr>
                <w:lang w:val="pt-BR"/>
              </w:rPr>
            </w:pPr>
            <w:r w:rsidRPr="00C47E18">
              <w:rPr>
                <w:lang w:val="pt-BR"/>
              </w:rPr>
              <w:t>tỷ đồng</w:t>
            </w:r>
          </w:p>
        </w:tc>
      </w:tr>
      <w:tr w:rsidR="00912AC9" w:rsidRPr="00C47E18" w:rsidTr="00912AC9">
        <w:trPr>
          <w:trHeight w:val="300"/>
        </w:trPr>
        <w:tc>
          <w:tcPr>
            <w:tcW w:w="3659" w:type="dxa"/>
            <w:shd w:val="clear" w:color="auto" w:fill="auto"/>
            <w:vAlign w:val="center"/>
            <w:hideMark/>
          </w:tcPr>
          <w:p w:rsidR="00912AC9" w:rsidRPr="00C47E18" w:rsidRDefault="009B49A2" w:rsidP="00442D9F">
            <w:pPr>
              <w:spacing w:before="120"/>
              <w:rPr>
                <w:lang w:val="pt-BR"/>
              </w:rPr>
            </w:pPr>
            <w:r>
              <w:rPr>
                <w:lang w:val="pt-BR"/>
              </w:rPr>
              <w:t xml:space="preserve">(7). </w:t>
            </w:r>
            <w:r w:rsidR="00912AC9" w:rsidRPr="00C47E18">
              <w:rPr>
                <w:lang w:val="pt-BR"/>
              </w:rPr>
              <w:t>Lộc Hà:</w:t>
            </w:r>
          </w:p>
        </w:tc>
        <w:tc>
          <w:tcPr>
            <w:tcW w:w="2835" w:type="dxa"/>
            <w:shd w:val="clear" w:color="auto" w:fill="auto"/>
            <w:noWrap/>
            <w:vAlign w:val="center"/>
            <w:hideMark/>
          </w:tcPr>
          <w:p w:rsidR="00912AC9" w:rsidRDefault="00912AC9" w:rsidP="00442D9F">
            <w:pPr>
              <w:spacing w:before="120"/>
              <w:jc w:val="right"/>
            </w:pPr>
            <w:r>
              <w:t xml:space="preserve">         25,934 </w:t>
            </w:r>
          </w:p>
        </w:tc>
        <w:tc>
          <w:tcPr>
            <w:tcW w:w="1701" w:type="dxa"/>
            <w:shd w:val="clear" w:color="auto" w:fill="auto"/>
            <w:noWrap/>
            <w:vAlign w:val="center"/>
            <w:hideMark/>
          </w:tcPr>
          <w:p w:rsidR="00912AC9" w:rsidRPr="00C47E18" w:rsidRDefault="00912AC9" w:rsidP="00442D9F">
            <w:pPr>
              <w:spacing w:before="120"/>
              <w:rPr>
                <w:lang w:val="pt-BR"/>
              </w:rPr>
            </w:pPr>
            <w:r w:rsidRPr="00C47E18">
              <w:rPr>
                <w:lang w:val="pt-BR"/>
              </w:rPr>
              <w:t>tỷ đồng</w:t>
            </w:r>
          </w:p>
        </w:tc>
      </w:tr>
      <w:tr w:rsidR="00912AC9" w:rsidRPr="00C47E18" w:rsidTr="00912AC9">
        <w:trPr>
          <w:trHeight w:val="300"/>
        </w:trPr>
        <w:tc>
          <w:tcPr>
            <w:tcW w:w="3659" w:type="dxa"/>
            <w:shd w:val="clear" w:color="auto" w:fill="auto"/>
            <w:vAlign w:val="center"/>
            <w:hideMark/>
          </w:tcPr>
          <w:p w:rsidR="00912AC9" w:rsidRPr="00C47E18" w:rsidRDefault="009B49A2" w:rsidP="00442D9F">
            <w:pPr>
              <w:spacing w:before="120"/>
              <w:rPr>
                <w:lang w:val="pt-BR"/>
              </w:rPr>
            </w:pPr>
            <w:r>
              <w:rPr>
                <w:lang w:val="pt-BR"/>
              </w:rPr>
              <w:t xml:space="preserve">(8). </w:t>
            </w:r>
            <w:r w:rsidR="00912AC9" w:rsidRPr="00C47E18">
              <w:rPr>
                <w:lang w:val="pt-BR"/>
              </w:rPr>
              <w:t>Nghi Xuân:</w:t>
            </w:r>
          </w:p>
        </w:tc>
        <w:tc>
          <w:tcPr>
            <w:tcW w:w="2835" w:type="dxa"/>
            <w:shd w:val="clear" w:color="auto" w:fill="auto"/>
            <w:noWrap/>
            <w:vAlign w:val="center"/>
            <w:hideMark/>
          </w:tcPr>
          <w:p w:rsidR="00912AC9" w:rsidRDefault="00912AC9" w:rsidP="00442D9F">
            <w:pPr>
              <w:spacing w:before="120"/>
              <w:jc w:val="right"/>
            </w:pPr>
            <w:r>
              <w:t xml:space="preserve">         32,755 </w:t>
            </w:r>
          </w:p>
        </w:tc>
        <w:tc>
          <w:tcPr>
            <w:tcW w:w="1701" w:type="dxa"/>
            <w:shd w:val="clear" w:color="auto" w:fill="auto"/>
            <w:noWrap/>
            <w:vAlign w:val="center"/>
            <w:hideMark/>
          </w:tcPr>
          <w:p w:rsidR="00912AC9" w:rsidRPr="00C47E18" w:rsidRDefault="00912AC9" w:rsidP="00442D9F">
            <w:pPr>
              <w:spacing w:before="120"/>
              <w:rPr>
                <w:lang w:val="pt-BR"/>
              </w:rPr>
            </w:pPr>
            <w:r w:rsidRPr="00C47E18">
              <w:rPr>
                <w:lang w:val="pt-BR"/>
              </w:rPr>
              <w:t>tỷ đồng</w:t>
            </w:r>
          </w:p>
        </w:tc>
      </w:tr>
      <w:tr w:rsidR="00912AC9" w:rsidRPr="00C47E18" w:rsidTr="00912AC9">
        <w:trPr>
          <w:trHeight w:val="300"/>
        </w:trPr>
        <w:tc>
          <w:tcPr>
            <w:tcW w:w="3659" w:type="dxa"/>
            <w:shd w:val="clear" w:color="auto" w:fill="auto"/>
            <w:vAlign w:val="center"/>
            <w:hideMark/>
          </w:tcPr>
          <w:p w:rsidR="00912AC9" w:rsidRPr="00C47E18" w:rsidRDefault="009B49A2" w:rsidP="00442D9F">
            <w:pPr>
              <w:spacing w:before="120"/>
              <w:rPr>
                <w:lang w:val="pt-BR"/>
              </w:rPr>
            </w:pPr>
            <w:r>
              <w:rPr>
                <w:lang w:val="pt-BR"/>
              </w:rPr>
              <w:t xml:space="preserve">(9). </w:t>
            </w:r>
            <w:r w:rsidR="00912AC9" w:rsidRPr="00C47E18">
              <w:rPr>
                <w:lang w:val="pt-BR"/>
              </w:rPr>
              <w:t>Thạch Hà:</w:t>
            </w:r>
          </w:p>
        </w:tc>
        <w:tc>
          <w:tcPr>
            <w:tcW w:w="2835" w:type="dxa"/>
            <w:shd w:val="clear" w:color="auto" w:fill="auto"/>
            <w:noWrap/>
            <w:vAlign w:val="center"/>
            <w:hideMark/>
          </w:tcPr>
          <w:p w:rsidR="00912AC9" w:rsidRDefault="00912AC9" w:rsidP="00442D9F">
            <w:pPr>
              <w:spacing w:before="120"/>
              <w:jc w:val="right"/>
            </w:pPr>
            <w:r>
              <w:t xml:space="preserve">         49,510 </w:t>
            </w:r>
          </w:p>
        </w:tc>
        <w:tc>
          <w:tcPr>
            <w:tcW w:w="1701" w:type="dxa"/>
            <w:shd w:val="clear" w:color="auto" w:fill="auto"/>
            <w:noWrap/>
            <w:vAlign w:val="center"/>
            <w:hideMark/>
          </w:tcPr>
          <w:p w:rsidR="00912AC9" w:rsidRPr="00C47E18" w:rsidRDefault="00912AC9" w:rsidP="00442D9F">
            <w:pPr>
              <w:spacing w:before="120"/>
              <w:rPr>
                <w:lang w:val="pt-BR"/>
              </w:rPr>
            </w:pPr>
            <w:r w:rsidRPr="00C47E18">
              <w:rPr>
                <w:lang w:val="pt-BR"/>
              </w:rPr>
              <w:t>tỷ đồng</w:t>
            </w:r>
          </w:p>
        </w:tc>
      </w:tr>
      <w:tr w:rsidR="00912AC9" w:rsidRPr="00C47E18" w:rsidTr="00912AC9">
        <w:trPr>
          <w:trHeight w:val="300"/>
        </w:trPr>
        <w:tc>
          <w:tcPr>
            <w:tcW w:w="3659" w:type="dxa"/>
            <w:shd w:val="clear" w:color="auto" w:fill="auto"/>
            <w:vAlign w:val="center"/>
            <w:hideMark/>
          </w:tcPr>
          <w:p w:rsidR="00912AC9" w:rsidRPr="00C47E18" w:rsidRDefault="009B49A2" w:rsidP="00442D9F">
            <w:pPr>
              <w:spacing w:before="120"/>
              <w:rPr>
                <w:lang w:val="pt-BR"/>
              </w:rPr>
            </w:pPr>
            <w:r>
              <w:rPr>
                <w:lang w:val="pt-BR"/>
              </w:rPr>
              <w:t xml:space="preserve">(10). </w:t>
            </w:r>
            <w:r w:rsidR="00912AC9" w:rsidRPr="00C47E18">
              <w:rPr>
                <w:lang w:val="pt-BR"/>
              </w:rPr>
              <w:t>TP Hà Tĩnh:</w:t>
            </w:r>
          </w:p>
        </w:tc>
        <w:tc>
          <w:tcPr>
            <w:tcW w:w="2835" w:type="dxa"/>
            <w:shd w:val="clear" w:color="auto" w:fill="auto"/>
            <w:noWrap/>
            <w:vAlign w:val="center"/>
            <w:hideMark/>
          </w:tcPr>
          <w:p w:rsidR="00912AC9" w:rsidRDefault="00912AC9" w:rsidP="00442D9F">
            <w:pPr>
              <w:spacing w:before="120"/>
              <w:jc w:val="right"/>
            </w:pPr>
            <w:r>
              <w:t xml:space="preserve">         62,060 </w:t>
            </w:r>
          </w:p>
        </w:tc>
        <w:tc>
          <w:tcPr>
            <w:tcW w:w="1701" w:type="dxa"/>
            <w:shd w:val="clear" w:color="auto" w:fill="auto"/>
            <w:noWrap/>
            <w:vAlign w:val="center"/>
            <w:hideMark/>
          </w:tcPr>
          <w:p w:rsidR="00912AC9" w:rsidRPr="00C47E18" w:rsidRDefault="00912AC9" w:rsidP="00442D9F">
            <w:pPr>
              <w:spacing w:before="120"/>
              <w:rPr>
                <w:lang w:val="pt-BR"/>
              </w:rPr>
            </w:pPr>
            <w:r w:rsidRPr="00C47E18">
              <w:rPr>
                <w:lang w:val="pt-BR"/>
              </w:rPr>
              <w:t>tỷ đồng</w:t>
            </w:r>
          </w:p>
        </w:tc>
      </w:tr>
      <w:tr w:rsidR="00912AC9" w:rsidRPr="00C47E18" w:rsidTr="00912AC9">
        <w:trPr>
          <w:trHeight w:val="300"/>
        </w:trPr>
        <w:tc>
          <w:tcPr>
            <w:tcW w:w="3659" w:type="dxa"/>
            <w:shd w:val="clear" w:color="auto" w:fill="auto"/>
            <w:vAlign w:val="center"/>
            <w:hideMark/>
          </w:tcPr>
          <w:p w:rsidR="00912AC9" w:rsidRPr="00C47E18" w:rsidRDefault="009B49A2" w:rsidP="00442D9F">
            <w:pPr>
              <w:spacing w:before="120"/>
              <w:rPr>
                <w:lang w:val="pt-BR"/>
              </w:rPr>
            </w:pPr>
            <w:r>
              <w:rPr>
                <w:lang w:val="pt-BR"/>
              </w:rPr>
              <w:t xml:space="preserve">(11). </w:t>
            </w:r>
            <w:r w:rsidR="00912AC9" w:rsidRPr="00C47E18">
              <w:rPr>
                <w:lang w:val="pt-BR"/>
              </w:rPr>
              <w:t>TX Hồng Lĩnh:</w:t>
            </w:r>
          </w:p>
        </w:tc>
        <w:tc>
          <w:tcPr>
            <w:tcW w:w="2835" w:type="dxa"/>
            <w:shd w:val="clear" w:color="auto" w:fill="auto"/>
            <w:noWrap/>
            <w:vAlign w:val="center"/>
            <w:hideMark/>
          </w:tcPr>
          <w:p w:rsidR="00912AC9" w:rsidRDefault="00912AC9" w:rsidP="00442D9F">
            <w:pPr>
              <w:spacing w:before="120"/>
              <w:jc w:val="right"/>
            </w:pPr>
            <w:r>
              <w:t xml:space="preserve">         30,391 </w:t>
            </w:r>
          </w:p>
        </w:tc>
        <w:tc>
          <w:tcPr>
            <w:tcW w:w="1701" w:type="dxa"/>
            <w:shd w:val="clear" w:color="auto" w:fill="auto"/>
            <w:noWrap/>
            <w:vAlign w:val="center"/>
            <w:hideMark/>
          </w:tcPr>
          <w:p w:rsidR="00912AC9" w:rsidRPr="00C47E18" w:rsidRDefault="00912AC9" w:rsidP="00442D9F">
            <w:pPr>
              <w:spacing w:before="120"/>
              <w:rPr>
                <w:lang w:val="pt-BR"/>
              </w:rPr>
            </w:pPr>
            <w:r w:rsidRPr="00C47E18">
              <w:rPr>
                <w:lang w:val="pt-BR"/>
              </w:rPr>
              <w:t>tỷ đồng</w:t>
            </w:r>
          </w:p>
        </w:tc>
      </w:tr>
      <w:tr w:rsidR="00912AC9" w:rsidRPr="00C47E18" w:rsidTr="00912AC9">
        <w:trPr>
          <w:trHeight w:val="300"/>
        </w:trPr>
        <w:tc>
          <w:tcPr>
            <w:tcW w:w="3659" w:type="dxa"/>
            <w:shd w:val="clear" w:color="auto" w:fill="auto"/>
            <w:vAlign w:val="center"/>
            <w:hideMark/>
          </w:tcPr>
          <w:p w:rsidR="00912AC9" w:rsidRPr="00C47E18" w:rsidRDefault="009B49A2" w:rsidP="00442D9F">
            <w:pPr>
              <w:spacing w:before="120"/>
              <w:rPr>
                <w:lang w:val="pt-BR"/>
              </w:rPr>
            </w:pPr>
            <w:r>
              <w:rPr>
                <w:lang w:val="pt-BR"/>
              </w:rPr>
              <w:t xml:space="preserve">(12). </w:t>
            </w:r>
            <w:r w:rsidR="00912AC9" w:rsidRPr="00C47E18">
              <w:rPr>
                <w:lang w:val="pt-BR"/>
              </w:rPr>
              <w:t>TX Kỳ Anh:</w:t>
            </w:r>
          </w:p>
        </w:tc>
        <w:tc>
          <w:tcPr>
            <w:tcW w:w="2835" w:type="dxa"/>
            <w:shd w:val="clear" w:color="auto" w:fill="auto"/>
            <w:noWrap/>
            <w:vAlign w:val="center"/>
            <w:hideMark/>
          </w:tcPr>
          <w:p w:rsidR="00912AC9" w:rsidRDefault="00912AC9" w:rsidP="00442D9F">
            <w:pPr>
              <w:spacing w:before="120"/>
              <w:jc w:val="right"/>
            </w:pPr>
            <w:r>
              <w:t xml:space="preserve">         63,549 </w:t>
            </w:r>
          </w:p>
        </w:tc>
        <w:tc>
          <w:tcPr>
            <w:tcW w:w="1701" w:type="dxa"/>
            <w:shd w:val="clear" w:color="auto" w:fill="auto"/>
            <w:noWrap/>
            <w:vAlign w:val="center"/>
            <w:hideMark/>
          </w:tcPr>
          <w:p w:rsidR="00912AC9" w:rsidRPr="00C47E18" w:rsidRDefault="00912AC9" w:rsidP="00442D9F">
            <w:pPr>
              <w:spacing w:before="120"/>
              <w:rPr>
                <w:lang w:val="pt-BR"/>
              </w:rPr>
            </w:pPr>
            <w:r w:rsidRPr="00C47E18">
              <w:rPr>
                <w:lang w:val="pt-BR"/>
              </w:rPr>
              <w:t>tỷ đồng</w:t>
            </w:r>
          </w:p>
        </w:tc>
      </w:tr>
      <w:tr w:rsidR="00912AC9" w:rsidRPr="00C47E18" w:rsidTr="00912AC9">
        <w:trPr>
          <w:trHeight w:val="300"/>
        </w:trPr>
        <w:tc>
          <w:tcPr>
            <w:tcW w:w="3659" w:type="dxa"/>
            <w:shd w:val="clear" w:color="auto" w:fill="auto"/>
            <w:noWrap/>
            <w:vAlign w:val="center"/>
            <w:hideMark/>
          </w:tcPr>
          <w:p w:rsidR="00912AC9" w:rsidRPr="00C47E18" w:rsidRDefault="00CA5E19" w:rsidP="00442D9F">
            <w:pPr>
              <w:spacing w:before="120"/>
              <w:rPr>
                <w:lang w:val="pt-BR"/>
              </w:rPr>
            </w:pPr>
            <w:r>
              <w:rPr>
                <w:lang w:val="pt-BR"/>
              </w:rPr>
              <w:t xml:space="preserve">(13). </w:t>
            </w:r>
            <w:r w:rsidR="00912AC9" w:rsidRPr="00C47E18">
              <w:rPr>
                <w:lang w:val="pt-BR"/>
              </w:rPr>
              <w:t>Vũ Quang:</w:t>
            </w:r>
          </w:p>
        </w:tc>
        <w:tc>
          <w:tcPr>
            <w:tcW w:w="2835" w:type="dxa"/>
            <w:shd w:val="clear" w:color="auto" w:fill="auto"/>
            <w:noWrap/>
            <w:vAlign w:val="center"/>
            <w:hideMark/>
          </w:tcPr>
          <w:p w:rsidR="00912AC9" w:rsidRDefault="00912AC9" w:rsidP="00442D9F">
            <w:pPr>
              <w:spacing w:before="120"/>
              <w:jc w:val="right"/>
            </w:pPr>
            <w:r>
              <w:t xml:space="preserve">         29,490 </w:t>
            </w:r>
          </w:p>
        </w:tc>
        <w:tc>
          <w:tcPr>
            <w:tcW w:w="1701" w:type="dxa"/>
            <w:shd w:val="clear" w:color="auto" w:fill="auto"/>
            <w:noWrap/>
            <w:vAlign w:val="center"/>
            <w:hideMark/>
          </w:tcPr>
          <w:p w:rsidR="00912AC9" w:rsidRPr="00C47E18" w:rsidRDefault="00912AC9" w:rsidP="00442D9F">
            <w:pPr>
              <w:spacing w:before="120"/>
              <w:rPr>
                <w:lang w:val="pt-BR"/>
              </w:rPr>
            </w:pPr>
            <w:r w:rsidRPr="00C47E18">
              <w:rPr>
                <w:lang w:val="pt-BR"/>
              </w:rPr>
              <w:t>tỷ đồng</w:t>
            </w:r>
          </w:p>
        </w:tc>
      </w:tr>
    </w:tbl>
    <w:p w:rsidR="003F103F" w:rsidRPr="00AC6825" w:rsidRDefault="003F103F" w:rsidP="00442D9F">
      <w:pPr>
        <w:spacing w:before="120"/>
        <w:ind w:firstLine="720"/>
        <w:jc w:val="both"/>
        <w:rPr>
          <w:lang w:val="nl-NL"/>
        </w:rPr>
      </w:pPr>
      <w:r w:rsidRPr="002B1493">
        <w:rPr>
          <w:lang w:val="nl-NL"/>
        </w:rPr>
        <w:t xml:space="preserve">Việc phân bổ chi tiết cho các dự án thuộc các ngành, đơn vị cấp tỉnh và các huyện, thành phố, thị xã được thực hiện theo các nguyên tắc tiêu chí quy định và phù hợp với định mức vốn được phân bổ cho các ngành, lĩnh vực </w:t>
      </w:r>
      <w:r w:rsidR="00981BCB">
        <w:rPr>
          <w:lang w:val="nl-NL"/>
        </w:rPr>
        <w:t>và địa phương nêu trên. Tuy vậy</w:t>
      </w:r>
      <w:r w:rsidRPr="002B1493">
        <w:rPr>
          <w:lang w:val="nl-NL"/>
        </w:rPr>
        <w:t xml:space="preserve"> một số ngành, lĩnh vực</w:t>
      </w:r>
      <w:r w:rsidR="00535AD9">
        <w:rPr>
          <w:lang w:val="nl-NL"/>
        </w:rPr>
        <w:t xml:space="preserve"> nêu trên</w:t>
      </w:r>
      <w:r w:rsidRPr="002B1493">
        <w:rPr>
          <w:lang w:val="nl-NL"/>
        </w:rPr>
        <w:t xml:space="preserve"> </w:t>
      </w:r>
      <w:r>
        <w:rPr>
          <w:lang w:val="nl-NL"/>
        </w:rPr>
        <w:t xml:space="preserve">không phân bổ hết kế hoạch vốn được giao do không có đủ dự án đảm bảo điều kiện bố trí vốn </w:t>
      </w:r>
      <w:r w:rsidRPr="002B1493">
        <w:rPr>
          <w:lang w:val="nl-NL"/>
        </w:rPr>
        <w:t>với số vốn là</w:t>
      </w:r>
      <w:r w:rsidR="00D612AE">
        <w:rPr>
          <w:lang w:val="nl-NL"/>
        </w:rPr>
        <w:t xml:space="preserve"> </w:t>
      </w:r>
      <w:r w:rsidR="00A9646B">
        <w:rPr>
          <w:lang w:val="nl-NL"/>
        </w:rPr>
        <w:t>5</w:t>
      </w:r>
      <w:r w:rsidR="004B368C">
        <w:rPr>
          <w:lang w:val="nl-NL"/>
        </w:rPr>
        <w:t>2,515 tỷ đồng (</w:t>
      </w:r>
      <w:r w:rsidRPr="002B1493">
        <w:rPr>
          <w:lang w:val="nl-NL"/>
        </w:rPr>
        <w:t>gồm: lĩnh vực Kho tàng</w:t>
      </w:r>
      <w:r>
        <w:rPr>
          <w:lang w:val="nl-NL"/>
        </w:rPr>
        <w:t xml:space="preserve"> tại Điểm (6), Mục </w:t>
      </w:r>
      <w:r w:rsidR="008E610C">
        <w:rPr>
          <w:lang w:val="nl-NL"/>
        </w:rPr>
        <w:t>b</w:t>
      </w:r>
      <w:r>
        <w:rPr>
          <w:lang w:val="nl-NL"/>
        </w:rPr>
        <w:t>.1:</w:t>
      </w:r>
      <w:r w:rsidRPr="002B1493">
        <w:rPr>
          <w:lang w:val="nl-NL"/>
        </w:rPr>
        <w:t xml:space="preserve"> </w:t>
      </w:r>
      <w:r w:rsidR="00E815E8">
        <w:rPr>
          <w:lang w:val="nl-NL"/>
        </w:rPr>
        <w:t>5,684</w:t>
      </w:r>
      <w:r w:rsidRPr="002B1493">
        <w:rPr>
          <w:lang w:val="nl-NL"/>
        </w:rPr>
        <w:t xml:space="preserve"> tỷ </w:t>
      </w:r>
      <w:r w:rsidRPr="002B1493">
        <w:rPr>
          <w:lang w:val="nl-NL"/>
        </w:rPr>
        <w:lastRenderedPageBreak/>
        <w:t xml:space="preserve">đồng; </w:t>
      </w:r>
      <w:r w:rsidR="00B9049B" w:rsidRPr="002B1493">
        <w:rPr>
          <w:lang w:val="nl-NL"/>
        </w:rPr>
        <w:t xml:space="preserve">lĩnh vực </w:t>
      </w:r>
      <w:r w:rsidR="00B9049B" w:rsidRPr="00C47E18">
        <w:t>Khoa học, công nghệ</w:t>
      </w:r>
      <w:r w:rsidR="00B9049B">
        <w:rPr>
          <w:lang w:val="nl-NL"/>
        </w:rPr>
        <w:t xml:space="preserve"> tại Điểm (8), Mục b.1:</w:t>
      </w:r>
      <w:r w:rsidR="00B9049B" w:rsidRPr="002B1493">
        <w:rPr>
          <w:lang w:val="nl-NL"/>
        </w:rPr>
        <w:t xml:space="preserve"> </w:t>
      </w:r>
      <w:r w:rsidR="00B9049B">
        <w:rPr>
          <w:lang w:val="nl-NL"/>
        </w:rPr>
        <w:t>35,464</w:t>
      </w:r>
      <w:r w:rsidR="00B9049B" w:rsidRPr="002B1493">
        <w:rPr>
          <w:lang w:val="nl-NL"/>
        </w:rPr>
        <w:t xml:space="preserve"> tỷ đồng</w:t>
      </w:r>
      <w:r w:rsidR="0013718C">
        <w:rPr>
          <w:lang w:val="nl-NL"/>
        </w:rPr>
        <w:t>;</w:t>
      </w:r>
      <w:r w:rsidR="00B9049B" w:rsidRPr="002B1493">
        <w:rPr>
          <w:lang w:val="nl-NL"/>
        </w:rPr>
        <w:t xml:space="preserve"> </w:t>
      </w:r>
      <w:r w:rsidRPr="002B1493">
        <w:rPr>
          <w:lang w:val="nl-NL"/>
        </w:rPr>
        <w:t>lĩnh vực Tài nguyên - môi trường</w:t>
      </w:r>
      <w:r>
        <w:rPr>
          <w:lang w:val="nl-NL"/>
        </w:rPr>
        <w:t xml:space="preserve"> tại Điểm (13), Mục </w:t>
      </w:r>
      <w:r w:rsidR="00F82047">
        <w:rPr>
          <w:lang w:val="nl-NL"/>
        </w:rPr>
        <w:t>b</w:t>
      </w:r>
      <w:r>
        <w:rPr>
          <w:lang w:val="nl-NL"/>
        </w:rPr>
        <w:t>.1:</w:t>
      </w:r>
      <w:r w:rsidRPr="002B1493">
        <w:rPr>
          <w:lang w:val="nl-NL"/>
        </w:rPr>
        <w:t xml:space="preserve"> </w:t>
      </w:r>
      <w:r w:rsidR="006D243B">
        <w:rPr>
          <w:lang w:val="nl-NL"/>
        </w:rPr>
        <w:t>11,367</w:t>
      </w:r>
      <w:r w:rsidRPr="002B1493">
        <w:rPr>
          <w:lang w:val="nl-NL"/>
        </w:rPr>
        <w:t xml:space="preserve"> tỷ đồng</w:t>
      </w:r>
      <w:r w:rsidR="00D51469">
        <w:rPr>
          <w:lang w:val="nl-NL"/>
        </w:rPr>
        <w:t>)</w:t>
      </w:r>
      <w:r w:rsidRPr="002B1493">
        <w:rPr>
          <w:lang w:val="nl-NL"/>
        </w:rPr>
        <w:t>; UBND tỉnh đề nghị:</w:t>
      </w:r>
      <w:r>
        <w:rPr>
          <w:lang w:val="nl-NL"/>
        </w:rPr>
        <w:t xml:space="preserve"> </w:t>
      </w:r>
    </w:p>
    <w:p w:rsidR="003F103F" w:rsidRDefault="003F103F" w:rsidP="00442D9F">
      <w:pPr>
        <w:spacing w:before="120"/>
        <w:ind w:firstLine="720"/>
        <w:jc w:val="both"/>
        <w:rPr>
          <w:lang w:val="nl-NL"/>
        </w:rPr>
      </w:pPr>
      <w:r w:rsidRPr="002B1493">
        <w:rPr>
          <w:lang w:val="nl-NL"/>
        </w:rPr>
        <w:t xml:space="preserve">- Điều chuyển </w:t>
      </w:r>
      <w:r w:rsidR="005338CA">
        <w:rPr>
          <w:lang w:val="nl-NL"/>
        </w:rPr>
        <w:t>32,515</w:t>
      </w:r>
      <w:r w:rsidRPr="002B1493">
        <w:rPr>
          <w:lang w:val="nl-NL"/>
        </w:rPr>
        <w:t xml:space="preserve"> tỷ đồng từ nguồn vốn còn lại của lĩnh vực Kho tàng (</w:t>
      </w:r>
      <w:r w:rsidR="00591EF9">
        <w:rPr>
          <w:lang w:val="nl-NL"/>
        </w:rPr>
        <w:t>5,684</w:t>
      </w:r>
      <w:r w:rsidRPr="002B1493">
        <w:rPr>
          <w:lang w:val="nl-NL"/>
        </w:rPr>
        <w:t xml:space="preserve"> tỷ đồng)</w:t>
      </w:r>
      <w:r w:rsidR="00AD44A6">
        <w:rPr>
          <w:lang w:val="nl-NL"/>
        </w:rPr>
        <w:t>,</w:t>
      </w:r>
      <w:r w:rsidRPr="002B1493">
        <w:rPr>
          <w:lang w:val="nl-NL"/>
        </w:rPr>
        <w:t xml:space="preserve"> lĩnh vực Tài nguyên - môi trường (</w:t>
      </w:r>
      <w:r w:rsidR="00F35EB0">
        <w:rPr>
          <w:lang w:val="nl-NL"/>
        </w:rPr>
        <w:t>11,367</w:t>
      </w:r>
      <w:r w:rsidRPr="002B1493">
        <w:rPr>
          <w:lang w:val="nl-NL"/>
        </w:rPr>
        <w:t xml:space="preserve"> tỷ đồng)</w:t>
      </w:r>
      <w:r w:rsidR="00AD44A6">
        <w:rPr>
          <w:lang w:val="nl-NL"/>
        </w:rPr>
        <w:t xml:space="preserve"> và</w:t>
      </w:r>
      <w:r w:rsidRPr="002B1493">
        <w:rPr>
          <w:lang w:val="nl-NL"/>
        </w:rPr>
        <w:t xml:space="preserve"> </w:t>
      </w:r>
      <w:r w:rsidR="00AD44A6" w:rsidRPr="002B1493">
        <w:rPr>
          <w:lang w:val="nl-NL"/>
        </w:rPr>
        <w:t xml:space="preserve">lĩnh vực </w:t>
      </w:r>
      <w:r w:rsidR="00AD44A6" w:rsidRPr="00C47E18">
        <w:t>Khoa học, công nghệ</w:t>
      </w:r>
      <w:r w:rsidR="00AD44A6">
        <w:t xml:space="preserve"> (</w:t>
      </w:r>
      <w:r w:rsidR="00895143">
        <w:t>15,</w:t>
      </w:r>
      <w:r w:rsidR="005338CA">
        <w:t>464</w:t>
      </w:r>
      <w:r w:rsidR="00895143">
        <w:t xml:space="preserve"> tỷ đồng)</w:t>
      </w:r>
      <w:r w:rsidR="00AD44A6" w:rsidRPr="002B1493">
        <w:rPr>
          <w:lang w:val="nl-NL"/>
        </w:rPr>
        <w:t xml:space="preserve"> </w:t>
      </w:r>
      <w:r w:rsidRPr="002B1493">
        <w:rPr>
          <w:lang w:val="nl-NL"/>
        </w:rPr>
        <w:t>do chưa có dự án khởi công mới đủ thủ tục đầu tư</w:t>
      </w:r>
      <w:r>
        <w:rPr>
          <w:lang w:val="nl-NL"/>
        </w:rPr>
        <w:t xml:space="preserve"> theo quy định</w:t>
      </w:r>
      <w:r w:rsidRPr="000A33C8">
        <w:rPr>
          <w:vertAlign w:val="superscript"/>
        </w:rPr>
        <w:footnoteReference w:id="16"/>
      </w:r>
      <w:r w:rsidRPr="000A33C8">
        <w:rPr>
          <w:vertAlign w:val="superscript"/>
          <w:lang w:val="nl-NL"/>
        </w:rPr>
        <w:t xml:space="preserve"> </w:t>
      </w:r>
      <w:r w:rsidRPr="002B1493">
        <w:rPr>
          <w:lang w:val="nl-NL"/>
        </w:rPr>
        <w:t xml:space="preserve">để bổ sung </w:t>
      </w:r>
      <w:r w:rsidR="00005986">
        <w:rPr>
          <w:lang w:val="nl-NL"/>
        </w:rPr>
        <w:t>vốn thanh</w:t>
      </w:r>
      <w:r w:rsidR="001929AA">
        <w:rPr>
          <w:lang w:val="nl-NL"/>
        </w:rPr>
        <w:t xml:space="preserve"> toán nợ xây dựng cở bản cho Dự án </w:t>
      </w:r>
      <w:r w:rsidR="001929AA" w:rsidRPr="001929AA">
        <w:rPr>
          <w:lang w:val="nl-NL"/>
        </w:rPr>
        <w:t>rà phá bom mìn, vật nổ còn sót lại sau chiến tranh trên địa bàn Hà Tĩnh</w:t>
      </w:r>
      <w:r w:rsidR="00005986">
        <w:rPr>
          <w:lang w:val="nl-NL"/>
        </w:rPr>
        <w:t xml:space="preserve"> </w:t>
      </w:r>
      <w:r w:rsidR="00A929D0">
        <w:rPr>
          <w:lang w:val="nl-NL"/>
        </w:rPr>
        <w:t xml:space="preserve">và các dự án sử dụng NSTW còn thiếu vốn </w:t>
      </w:r>
      <w:r w:rsidRPr="002B1493">
        <w:rPr>
          <w:lang w:val="nl-NL"/>
        </w:rPr>
        <w:t>thuộc lĩnh vực Quốc phòng an ninh</w:t>
      </w:r>
      <w:r w:rsidR="00DC2E1C">
        <w:rPr>
          <w:lang w:val="nl-NL"/>
        </w:rPr>
        <w:t>.</w:t>
      </w:r>
    </w:p>
    <w:p w:rsidR="003F103F" w:rsidRPr="00F81CDD" w:rsidRDefault="003F103F" w:rsidP="00442D9F">
      <w:pPr>
        <w:spacing w:before="120"/>
        <w:ind w:firstLine="720"/>
        <w:jc w:val="both"/>
        <w:rPr>
          <w:lang w:val="nl-NL"/>
        </w:rPr>
      </w:pPr>
      <w:r w:rsidRPr="002B1493">
        <w:rPr>
          <w:lang w:val="nl-NL"/>
        </w:rPr>
        <w:t xml:space="preserve">- Điều chuyển </w:t>
      </w:r>
      <w:r w:rsidR="00CB1A15">
        <w:rPr>
          <w:lang w:val="nl-NL"/>
        </w:rPr>
        <w:t>20</w:t>
      </w:r>
      <w:r w:rsidRPr="002B1493">
        <w:rPr>
          <w:lang w:val="nl-NL"/>
        </w:rPr>
        <w:t xml:space="preserve"> tỷ đồng </w:t>
      </w:r>
      <w:r w:rsidR="00843B3C">
        <w:rPr>
          <w:lang w:val="nl-NL"/>
        </w:rPr>
        <w:t xml:space="preserve">vốn còn thừa của </w:t>
      </w:r>
      <w:r w:rsidR="00843B3C" w:rsidRPr="002B1493">
        <w:rPr>
          <w:lang w:val="nl-NL"/>
        </w:rPr>
        <w:t xml:space="preserve">lĩnh vực </w:t>
      </w:r>
      <w:r w:rsidR="00843B3C" w:rsidRPr="00C47E18">
        <w:t>Khoa học, công nghệ</w:t>
      </w:r>
      <w:r w:rsidR="00843B3C">
        <w:t xml:space="preserve"> </w:t>
      </w:r>
      <w:r w:rsidR="004B3FFB">
        <w:t xml:space="preserve">(sau khi đã chuyển một phần cho lĩnh vực Quốc phòng, an ninh) </w:t>
      </w:r>
      <w:r w:rsidR="00843B3C">
        <w:t xml:space="preserve">để bổ sung cho </w:t>
      </w:r>
      <w:r w:rsidR="00843B3C" w:rsidRPr="00F81CDD">
        <w:t>dự án Trung tâm y tế huyện Kỳ Anh</w:t>
      </w:r>
      <w:r w:rsidR="00425AE9" w:rsidRPr="00F81CDD">
        <w:rPr>
          <w:rStyle w:val="FootnoteReference"/>
          <w:lang w:val="nl-NL"/>
        </w:rPr>
        <w:footnoteReference w:id="17"/>
      </w:r>
      <w:r w:rsidR="00843B3C" w:rsidRPr="00F81CDD">
        <w:t>.</w:t>
      </w:r>
    </w:p>
    <w:p w:rsidR="003F103F" w:rsidRPr="00C5773C" w:rsidRDefault="003F103F" w:rsidP="00442D9F">
      <w:pPr>
        <w:spacing w:before="120"/>
        <w:ind w:firstLine="720"/>
        <w:jc w:val="both"/>
        <w:rPr>
          <w:i/>
          <w:lang w:val="nl-NL"/>
        </w:rPr>
      </w:pPr>
      <w:r w:rsidRPr="00C5773C">
        <w:rPr>
          <w:i/>
          <w:lang w:val="nl-NL"/>
        </w:rPr>
        <w:t xml:space="preserve"> (Chi tiết </w:t>
      </w:r>
      <w:r w:rsidR="00FE6C9A" w:rsidRPr="00C5773C">
        <w:rPr>
          <w:i/>
          <w:lang w:val="nl-NL"/>
        </w:rPr>
        <w:t>dự kiến phương</w:t>
      </w:r>
      <w:r w:rsidR="00442D9F">
        <w:rPr>
          <w:i/>
          <w:lang w:val="nl-NL"/>
        </w:rPr>
        <w:t xml:space="preserve"> án phân bổ vốn n</w:t>
      </w:r>
      <w:r w:rsidR="00FE6C9A" w:rsidRPr="00C5773C">
        <w:rPr>
          <w:i/>
          <w:lang w:val="nl-NL"/>
        </w:rPr>
        <w:t xml:space="preserve">gân sách tập trung theo </w:t>
      </w:r>
      <w:r w:rsidRPr="00C5773C">
        <w:rPr>
          <w:i/>
          <w:lang w:val="nl-NL"/>
        </w:rPr>
        <w:t xml:space="preserve">Phụ lục </w:t>
      </w:r>
      <w:r w:rsidR="00DF4CAD" w:rsidRPr="00C5773C">
        <w:rPr>
          <w:i/>
          <w:lang w:val="nl-NL"/>
        </w:rPr>
        <w:t>03</w:t>
      </w:r>
      <w:r w:rsidRPr="00C5773C">
        <w:rPr>
          <w:i/>
          <w:lang w:val="nl-NL"/>
        </w:rPr>
        <w:t xml:space="preserve">, </w:t>
      </w:r>
      <w:r w:rsidR="00DF4CAD" w:rsidRPr="00C5773C">
        <w:rPr>
          <w:i/>
          <w:lang w:val="nl-NL"/>
        </w:rPr>
        <w:t>04</w:t>
      </w:r>
      <w:r w:rsidRPr="00C5773C">
        <w:rPr>
          <w:i/>
          <w:lang w:val="nl-NL"/>
        </w:rPr>
        <w:t xml:space="preserve"> đính kèm)</w:t>
      </w:r>
    </w:p>
    <w:p w:rsidR="00326623" w:rsidRDefault="00326623" w:rsidP="00442D9F">
      <w:pPr>
        <w:tabs>
          <w:tab w:val="left" w:pos="709"/>
        </w:tabs>
        <w:spacing w:before="120"/>
        <w:ind w:firstLine="720"/>
        <w:jc w:val="both"/>
        <w:rPr>
          <w:lang w:val="nl-NL"/>
        </w:rPr>
      </w:pPr>
      <w:r>
        <w:rPr>
          <w:lang w:val="nl-NL"/>
        </w:rPr>
        <w:t xml:space="preserve">2.3. </w:t>
      </w:r>
      <w:r w:rsidR="00A53EA6">
        <w:rPr>
          <w:lang w:val="nl-NL"/>
        </w:rPr>
        <w:t>Nguồn thu xổ số kiến thiết</w:t>
      </w:r>
      <w:r w:rsidR="00F86C0E">
        <w:rPr>
          <w:lang w:val="nl-NL"/>
        </w:rPr>
        <w:t xml:space="preserve">: </w:t>
      </w:r>
      <w:r w:rsidR="00A53EA6">
        <w:rPr>
          <w:lang w:val="nl-NL"/>
        </w:rPr>
        <w:t>37,4</w:t>
      </w:r>
      <w:r w:rsidR="00F86C0E">
        <w:rPr>
          <w:lang w:val="nl-NL"/>
        </w:rPr>
        <w:t>73 tỷ đồng</w:t>
      </w:r>
    </w:p>
    <w:p w:rsidR="00F86C0E" w:rsidRDefault="00F86C0E" w:rsidP="00442D9F">
      <w:pPr>
        <w:tabs>
          <w:tab w:val="left" w:pos="709"/>
        </w:tabs>
        <w:spacing w:before="120"/>
        <w:ind w:firstLine="720"/>
        <w:jc w:val="both"/>
        <w:rPr>
          <w:lang w:val="pt-BR"/>
        </w:rPr>
      </w:pPr>
      <w:r>
        <w:rPr>
          <w:lang w:val="pt-BR"/>
        </w:rPr>
        <w:t>Việc phân bổ nguồn thu xổ số kiến thiết t</w:t>
      </w:r>
      <w:r w:rsidRPr="00F140CD">
        <w:rPr>
          <w:lang w:val="pt-BR"/>
        </w:rPr>
        <w:t>hực hiện theo quy định của Luật ngân sách nhà nước, Văn bản số 4373/BTC-NSNN, ngày 09 tháng 4 năm 2013 của Bộ Tài chính về việc phân bổ và sử dụng nguồn thu từ hoạt động xổ số kiến thiết và các văn bản quy định hiện hành</w:t>
      </w:r>
      <w:r w:rsidR="007D4917">
        <w:rPr>
          <w:lang w:val="pt-BR"/>
        </w:rPr>
        <w:t>.</w:t>
      </w:r>
    </w:p>
    <w:p w:rsidR="00CC6D54" w:rsidRDefault="00CC6D54" w:rsidP="00442D9F">
      <w:pPr>
        <w:tabs>
          <w:tab w:val="left" w:pos="709"/>
        </w:tabs>
        <w:spacing w:before="120"/>
        <w:ind w:firstLine="720"/>
        <w:jc w:val="both"/>
        <w:rPr>
          <w:lang w:val="pt-BR"/>
        </w:rPr>
      </w:pPr>
      <w:r>
        <w:rPr>
          <w:lang w:val="pt-BR"/>
        </w:rPr>
        <w:t>Dự kiến phân bổ cho lĩnh vực giáo dục, đào tạo và dạy nghề (70%) là 26</w:t>
      </w:r>
      <w:r w:rsidRPr="0070696A">
        <w:rPr>
          <w:lang w:val="pt-BR"/>
        </w:rPr>
        <w:t>,231 tỷ đồng và lĩnh vực y</w:t>
      </w:r>
      <w:r w:rsidR="000D25DE" w:rsidRPr="0070696A">
        <w:rPr>
          <w:lang w:val="pt-BR"/>
        </w:rPr>
        <w:t xml:space="preserve"> tế (30%) là 11,242 tỷ đồng </w:t>
      </w:r>
      <w:r w:rsidR="000D25DE" w:rsidRPr="00E0094C">
        <w:rPr>
          <w:i/>
          <w:lang w:val="pt-BR"/>
        </w:rPr>
        <w:t>(chi tiết theo Phụ lục số 0</w:t>
      </w:r>
      <w:r w:rsidR="00C600CB" w:rsidRPr="00E0094C">
        <w:rPr>
          <w:i/>
          <w:lang w:val="pt-BR"/>
        </w:rPr>
        <w:t>5</w:t>
      </w:r>
      <w:r w:rsidR="000D25DE" w:rsidRPr="00E0094C">
        <w:rPr>
          <w:i/>
          <w:lang w:val="pt-BR"/>
        </w:rPr>
        <w:t xml:space="preserve"> đính kèm)</w:t>
      </w:r>
    </w:p>
    <w:p w:rsidR="00F937A9" w:rsidRDefault="00F937A9" w:rsidP="00442D9F">
      <w:pPr>
        <w:tabs>
          <w:tab w:val="left" w:pos="709"/>
        </w:tabs>
        <w:spacing w:before="120"/>
        <w:ind w:firstLine="720"/>
        <w:jc w:val="both"/>
        <w:rPr>
          <w:lang w:val="pt-BR"/>
        </w:rPr>
      </w:pPr>
      <w:r>
        <w:rPr>
          <w:lang w:val="pt-BR"/>
        </w:rPr>
        <w:t xml:space="preserve">2.4. Vốn tín dụng đầu tư phát triển 261,534 tỷ đồng: Thực hiện theo Quyết định số </w:t>
      </w:r>
      <w:r w:rsidR="00262866">
        <w:rPr>
          <w:lang w:val="nl-NL"/>
        </w:rPr>
        <w:t>1939/QĐ-BKHĐT ngày 30/12/2016 của Bộ Kế hoạch và Đầu tư.</w:t>
      </w:r>
    </w:p>
    <w:p w:rsidR="00DE45BA" w:rsidRDefault="00DE45BA" w:rsidP="00442D9F">
      <w:pPr>
        <w:tabs>
          <w:tab w:val="left" w:pos="709"/>
        </w:tabs>
        <w:spacing w:before="120"/>
        <w:ind w:firstLine="720"/>
        <w:jc w:val="both"/>
        <w:rPr>
          <w:i/>
          <w:lang w:val="nl-NL"/>
        </w:rPr>
      </w:pPr>
      <w:r w:rsidRPr="00C47E18">
        <w:rPr>
          <w:i/>
          <w:lang w:val="nl-NL"/>
        </w:rPr>
        <w:t xml:space="preserve">Phương án phân bổ nguồn vốn địa phương nói trên được thực hiện theo </w:t>
      </w:r>
      <w:r>
        <w:rPr>
          <w:i/>
          <w:lang w:val="nl-NL"/>
        </w:rPr>
        <w:t>Nghị quyết số 14/2016/NQ-HĐND ngày 24/9/2016 của Hội đồng nhân dân tỉnh về ban hành các</w:t>
      </w:r>
      <w:r w:rsidRPr="00C47E18">
        <w:rPr>
          <w:i/>
          <w:lang w:val="nl-NL"/>
        </w:rPr>
        <w:t xml:space="preserve"> nguyên tắc tiêu chí và định mức phân bổ vốn đầu tư, đảm bảo theo đúng </w:t>
      </w:r>
      <w:r w:rsidR="00D3112E">
        <w:rPr>
          <w:i/>
          <w:lang w:val="nl-NL"/>
        </w:rPr>
        <w:t>quy định hiện hành của nhà nước, cụ thể:</w:t>
      </w:r>
    </w:p>
    <w:p w:rsidR="000B4D87" w:rsidRDefault="00D10D87" w:rsidP="00442D9F">
      <w:pPr>
        <w:tabs>
          <w:tab w:val="left" w:pos="709"/>
        </w:tabs>
        <w:spacing w:before="120"/>
        <w:ind w:firstLine="720"/>
        <w:jc w:val="both"/>
        <w:rPr>
          <w:i/>
          <w:lang w:val="nl-NL"/>
        </w:rPr>
      </w:pPr>
      <w:r>
        <w:rPr>
          <w:i/>
          <w:lang w:val="nl-NL"/>
        </w:rPr>
        <w:t xml:space="preserve">- Nguồn Ngân sách tập trung (phần </w:t>
      </w:r>
      <w:r w:rsidR="00EA73D1">
        <w:rPr>
          <w:i/>
          <w:lang w:val="nl-NL"/>
        </w:rPr>
        <w:t>chi chung</w:t>
      </w:r>
      <w:r>
        <w:rPr>
          <w:i/>
          <w:lang w:val="nl-NL"/>
        </w:rPr>
        <w:t>)</w:t>
      </w:r>
      <w:r w:rsidR="00DE45BA">
        <w:rPr>
          <w:i/>
          <w:lang w:val="nl-NL"/>
        </w:rPr>
        <w:t>:</w:t>
      </w:r>
      <w:r w:rsidR="00DE45BA" w:rsidRPr="00C47E18">
        <w:rPr>
          <w:i/>
          <w:lang w:val="nl-NL"/>
        </w:rPr>
        <w:t xml:space="preserve"> </w:t>
      </w:r>
      <w:r w:rsidR="00DE45BA">
        <w:rPr>
          <w:i/>
          <w:lang w:val="nl-NL"/>
        </w:rPr>
        <w:t>Chỉ</w:t>
      </w:r>
      <w:r w:rsidR="00DE45BA" w:rsidRPr="00C47E18">
        <w:rPr>
          <w:i/>
          <w:lang w:val="nl-NL"/>
        </w:rPr>
        <w:t xml:space="preserve"> </w:t>
      </w:r>
      <w:r w:rsidR="00DE45BA">
        <w:rPr>
          <w:i/>
          <w:lang w:val="nl-NL"/>
        </w:rPr>
        <w:t xml:space="preserve">bố trí cho các nhiệm vụ </w:t>
      </w:r>
      <w:r w:rsidR="000B4D87">
        <w:rPr>
          <w:i/>
          <w:lang w:val="nl-NL"/>
        </w:rPr>
        <w:t>dự phòng, trả nợ vay, đối ứng các chương trình, dự án ODA và bố trí cho các công trình, dự án cấp bách của địa phương (đã được thẩm định, phê duyệt theo đúng quy định).</w:t>
      </w:r>
    </w:p>
    <w:p w:rsidR="00DE45BA" w:rsidRDefault="00DE45BA" w:rsidP="00442D9F">
      <w:pPr>
        <w:tabs>
          <w:tab w:val="left" w:pos="709"/>
        </w:tabs>
        <w:spacing w:before="120"/>
        <w:ind w:firstLine="720"/>
        <w:jc w:val="both"/>
        <w:rPr>
          <w:i/>
          <w:lang w:val="nl-NL"/>
        </w:rPr>
      </w:pPr>
      <w:r>
        <w:rPr>
          <w:i/>
          <w:lang w:val="nl-NL"/>
        </w:rPr>
        <w:t xml:space="preserve">- Nguồn </w:t>
      </w:r>
      <w:r w:rsidR="002D52CE">
        <w:rPr>
          <w:i/>
          <w:lang w:val="nl-NL"/>
        </w:rPr>
        <w:t>p</w:t>
      </w:r>
      <w:r w:rsidRPr="00C47E18">
        <w:rPr>
          <w:i/>
          <w:lang w:val="nl-NL"/>
        </w:rPr>
        <w:t xml:space="preserve">hân </w:t>
      </w:r>
      <w:r>
        <w:rPr>
          <w:i/>
          <w:lang w:val="nl-NL"/>
        </w:rPr>
        <w:t>bổ</w:t>
      </w:r>
      <w:r w:rsidRPr="00C47E18">
        <w:rPr>
          <w:i/>
          <w:lang w:val="nl-NL"/>
        </w:rPr>
        <w:t xml:space="preserve"> cho các huyện, ngành thực hiện theo </w:t>
      </w:r>
      <w:r w:rsidR="00F65246">
        <w:rPr>
          <w:i/>
          <w:lang w:val="nl-NL"/>
        </w:rPr>
        <w:t xml:space="preserve">đúng số điểm tỷ lệ quy định tại </w:t>
      </w:r>
      <w:r w:rsidR="003E331D">
        <w:rPr>
          <w:i/>
          <w:lang w:val="nl-NL"/>
        </w:rPr>
        <w:t>Nghị quyết số 14/2016/NQ-HĐND ngày 24/9/2016 của Hội đồng nhân dân tỉnh về ban hành các</w:t>
      </w:r>
      <w:r w:rsidR="003E331D" w:rsidRPr="00C47E18">
        <w:rPr>
          <w:i/>
          <w:lang w:val="nl-NL"/>
        </w:rPr>
        <w:t xml:space="preserve"> nguyên tắc</w:t>
      </w:r>
      <w:r w:rsidR="005E390B">
        <w:rPr>
          <w:i/>
          <w:lang w:val="nl-NL"/>
        </w:rPr>
        <w:t>,</w:t>
      </w:r>
      <w:r w:rsidR="003E331D" w:rsidRPr="00C47E18">
        <w:rPr>
          <w:i/>
          <w:lang w:val="nl-NL"/>
        </w:rPr>
        <w:t xml:space="preserve"> tiêu chí và định mức phân bổ vốn </w:t>
      </w:r>
      <w:r w:rsidR="003E331D" w:rsidRPr="00C47E18">
        <w:rPr>
          <w:i/>
          <w:lang w:val="nl-NL"/>
        </w:rPr>
        <w:lastRenderedPageBreak/>
        <w:t xml:space="preserve">đầu tư, đảm bảo theo đúng </w:t>
      </w:r>
      <w:r w:rsidR="00773F97">
        <w:rPr>
          <w:i/>
          <w:lang w:val="nl-NL"/>
        </w:rPr>
        <w:t>quy định hiện hành của nhà nước; đối với các ngành, lĩnh vực không phân bổ hết nguồn vốn theo định mức (do không có đủ dự án đảm bảo điều kiện bố trí vốn) được đề xuất điều chuyển cho các ngành, lĩnh vực còn nhu cầu khác</w:t>
      </w:r>
      <w:r w:rsidR="002433FD">
        <w:rPr>
          <w:i/>
          <w:lang w:val="nl-NL"/>
        </w:rPr>
        <w:t>.</w:t>
      </w:r>
    </w:p>
    <w:p w:rsidR="00DE45BA" w:rsidRDefault="00DE45BA" w:rsidP="00442D9F">
      <w:pPr>
        <w:tabs>
          <w:tab w:val="left" w:pos="709"/>
        </w:tabs>
        <w:spacing w:before="120"/>
        <w:ind w:firstLine="720"/>
        <w:jc w:val="both"/>
        <w:rPr>
          <w:i/>
          <w:lang w:val="nl-NL"/>
        </w:rPr>
      </w:pPr>
      <w:r>
        <w:rPr>
          <w:i/>
          <w:lang w:val="nl-NL"/>
        </w:rPr>
        <w:t xml:space="preserve">- Nguồn </w:t>
      </w:r>
      <w:r w:rsidR="005E390B">
        <w:rPr>
          <w:i/>
          <w:lang w:val="nl-NL"/>
        </w:rPr>
        <w:t xml:space="preserve">thu </w:t>
      </w:r>
      <w:r>
        <w:rPr>
          <w:i/>
          <w:lang w:val="nl-NL"/>
        </w:rPr>
        <w:t xml:space="preserve">tiền </w:t>
      </w:r>
      <w:r w:rsidR="005E390B">
        <w:rPr>
          <w:i/>
          <w:lang w:val="nl-NL"/>
        </w:rPr>
        <w:t xml:space="preserve">sử dụng </w:t>
      </w:r>
      <w:r>
        <w:rPr>
          <w:i/>
          <w:lang w:val="nl-NL"/>
        </w:rPr>
        <w:t>đất: Đang thực hiện phân bổ phần Ngân sách tỉnh hưởng theo tỷ lệ phân chia giữa các cấp đã được HĐND tỉnh thông qua; Phần Ngân sách huyện, xã hưởng do HĐND huyện, xã quyết định nhưng phải đảm bảo nguyên tắc chung về phân bổ vốn đầu tư quy định tại Điều 4, Nghị quyết số 14/2016/NQ-HĐND ngày 24/9/2016 của Hội đồng nhân dân tỉnh.</w:t>
      </w:r>
    </w:p>
    <w:p w:rsidR="00D85DC4" w:rsidRDefault="009D32FE" w:rsidP="00442D9F">
      <w:pPr>
        <w:spacing w:before="80"/>
        <w:ind w:firstLine="720"/>
        <w:jc w:val="both"/>
        <w:rPr>
          <w:b/>
          <w:lang w:val="en-GB"/>
        </w:rPr>
      </w:pPr>
      <w:r>
        <w:rPr>
          <w:b/>
          <w:lang w:val="en-GB"/>
        </w:rPr>
        <w:t>V. Kết quả đạt được và hạn chế của kế hoạch đầu tư công trung hạn giai đoạn 2016-2020</w:t>
      </w:r>
    </w:p>
    <w:p w:rsidR="009D32FE" w:rsidRDefault="009D32FE" w:rsidP="00442D9F">
      <w:pPr>
        <w:spacing w:before="80"/>
        <w:ind w:firstLine="720"/>
        <w:jc w:val="both"/>
        <w:rPr>
          <w:b/>
          <w:lang w:val="en-GB"/>
        </w:rPr>
      </w:pPr>
      <w:r>
        <w:rPr>
          <w:b/>
          <w:lang w:val="en-GB"/>
        </w:rPr>
        <w:t>1. Kết quả đạt được</w:t>
      </w:r>
    </w:p>
    <w:p w:rsidR="0056097F" w:rsidRDefault="002032DA" w:rsidP="00442D9F">
      <w:pPr>
        <w:spacing w:before="80"/>
        <w:ind w:firstLine="720"/>
        <w:jc w:val="both"/>
        <w:rPr>
          <w:lang w:val="en-GB"/>
        </w:rPr>
      </w:pPr>
      <w:r>
        <w:rPr>
          <w:lang w:val="en-GB"/>
        </w:rPr>
        <w:t xml:space="preserve">- </w:t>
      </w:r>
      <w:r w:rsidR="00584923">
        <w:rPr>
          <w:lang w:val="en-GB"/>
        </w:rPr>
        <w:t>Kế hoạch đầu tư công trung hạn</w:t>
      </w:r>
      <w:r w:rsidR="00003AB6">
        <w:rPr>
          <w:lang w:val="en-GB"/>
        </w:rPr>
        <w:t xml:space="preserve"> 5 năm</w:t>
      </w:r>
      <w:r w:rsidR="00584923">
        <w:rPr>
          <w:lang w:val="en-GB"/>
        </w:rPr>
        <w:t xml:space="preserve"> là bước đổi mới căn bản phương thức phân bổ kế hoạch đầu tư công</w:t>
      </w:r>
      <w:r w:rsidR="0056097F">
        <w:rPr>
          <w:lang w:val="en-GB"/>
        </w:rPr>
        <w:t xml:space="preserve">; chuyển từ cân đối vốn hằng năm sang cân đối trung hạn 5 năm ở cả tầm quốc gia và các cấp chính quyền địa phương. </w:t>
      </w:r>
      <w:proofErr w:type="gramStart"/>
      <w:r w:rsidR="0056097F">
        <w:rPr>
          <w:lang w:val="en-GB"/>
        </w:rPr>
        <w:t>Nhờ đó, việc phân bổ kế hoạch vốn trung hạn đảm bảo nguyên tắc tập trung, thống nhất, đồng thời khắc phục tình trạng bị động, mất cân đối trong bố trí vốn ngân sách nhà nước trong thời gian qua.</w:t>
      </w:r>
      <w:proofErr w:type="gramEnd"/>
    </w:p>
    <w:p w:rsidR="00142FEF" w:rsidRDefault="002032DA" w:rsidP="00442D9F">
      <w:pPr>
        <w:spacing w:before="80"/>
        <w:ind w:firstLine="720"/>
        <w:jc w:val="both"/>
        <w:rPr>
          <w:lang w:val="en-GB"/>
        </w:rPr>
      </w:pPr>
      <w:r>
        <w:rPr>
          <w:lang w:val="en-GB"/>
        </w:rPr>
        <w:t xml:space="preserve">- </w:t>
      </w:r>
      <w:r w:rsidR="008F0293">
        <w:rPr>
          <w:lang w:val="en-GB"/>
        </w:rPr>
        <w:t>Việc phân bổ vốn đầu tư công theo các nguyên tắc, tiêu chí và định mức phân bổ đảm bảo được sự cân bằng, hài hòa trong phân bổ nguồn lực đầu tư, góp phần thúc đẩy sự phát triển đồng đều, hài hòa giữa các ngành, lĩnh vực và địa phương.</w:t>
      </w:r>
    </w:p>
    <w:p w:rsidR="00584923" w:rsidRDefault="00142FEF" w:rsidP="00442D9F">
      <w:pPr>
        <w:spacing w:before="80"/>
        <w:ind w:firstLine="720"/>
        <w:jc w:val="both"/>
        <w:rPr>
          <w:lang w:val="en-GB"/>
        </w:rPr>
      </w:pPr>
      <w:r>
        <w:rPr>
          <w:lang w:val="en-GB"/>
        </w:rPr>
        <w:t xml:space="preserve">- Thông qua kế hoạch trung hạn </w:t>
      </w:r>
      <w:r w:rsidR="005D09B8">
        <w:rPr>
          <w:lang w:val="en-GB"/>
        </w:rPr>
        <w:t>có thể nhìn thấy tổng thể khả năng nguồn vốn để</w:t>
      </w:r>
      <w:r w:rsidR="000919F9">
        <w:rPr>
          <w:lang w:val="en-GB"/>
        </w:rPr>
        <w:t xml:space="preserve"> ưu tiên</w:t>
      </w:r>
      <w:r w:rsidR="005D09B8">
        <w:rPr>
          <w:lang w:val="en-GB"/>
        </w:rPr>
        <w:t xml:space="preserve"> bố trí đủ vốn thanh toán nợ đọng xây dựng cơ bản, thu hồi các khoản vốn ứng trước, đối ứng các chương trình dự án ODA, bố trí vốn hoàn thành các dự án chuyển tiếp, sau khi bố trí đủ vốn cho các thứ tự ưu tiên này, nếu còn nguồn mới xem xét bố trí cho các dự án khởi công mới; </w:t>
      </w:r>
      <w:r w:rsidR="000919F9">
        <w:rPr>
          <w:lang w:val="en-GB"/>
        </w:rPr>
        <w:t>V</w:t>
      </w:r>
      <w:r w:rsidR="005D09B8">
        <w:rPr>
          <w:lang w:val="en-GB"/>
        </w:rPr>
        <w:t>iệc bố trí vốn theo nguyên tắc và thứ tự ưu tiên như trên góp phần xử</w:t>
      </w:r>
      <w:r w:rsidR="000919F9">
        <w:rPr>
          <w:lang w:val="en-GB"/>
        </w:rPr>
        <w:t xml:space="preserve"> lý dứt điểm các dự án dở dang, khắc phục tình trạng đầu tư phân tán, dàn trải và nâng cao hiệu quả sử dụng vốn.</w:t>
      </w:r>
    </w:p>
    <w:p w:rsidR="00294C33" w:rsidRDefault="00AA0410" w:rsidP="00442D9F">
      <w:pPr>
        <w:spacing w:before="80"/>
        <w:ind w:firstLine="720"/>
        <w:jc w:val="both"/>
        <w:rPr>
          <w:lang w:val="nl-NL"/>
        </w:rPr>
      </w:pPr>
      <w:r>
        <w:rPr>
          <w:lang w:val="en-GB"/>
        </w:rPr>
        <w:t xml:space="preserve">- Phương án phân bổ kế hoạch vốn đầu tư công trung hạn đã tập trung ưu tiên </w:t>
      </w:r>
      <w:r w:rsidR="00294C33">
        <w:rPr>
          <w:lang w:val="en-GB"/>
        </w:rPr>
        <w:t xml:space="preserve">đầu tư theo các </w:t>
      </w:r>
      <w:r w:rsidR="00294C33" w:rsidRPr="00C47E18">
        <w:rPr>
          <w:lang w:val="nl-NL"/>
        </w:rPr>
        <w:t>lĩnh vực đột phá theo Nghị quyết Đại</w:t>
      </w:r>
      <w:r w:rsidR="00294C33">
        <w:rPr>
          <w:lang w:val="nl-NL"/>
        </w:rPr>
        <w:t xml:space="preserve"> hội Đảng bộ tỉnh lần thứ XVIII, trong đó đã ưu tiên nguồn lực: hỗ trợ đầu tư phát triển 03 đô thị </w:t>
      </w:r>
      <w:r w:rsidR="005E390B">
        <w:rPr>
          <w:lang w:val="nl-NL"/>
        </w:rPr>
        <w:t>t</w:t>
      </w:r>
      <w:r w:rsidR="00294C33">
        <w:rPr>
          <w:lang w:val="nl-NL"/>
        </w:rPr>
        <w:t xml:space="preserve">hành phố Hà Tĩnh, </w:t>
      </w:r>
      <w:r w:rsidR="005E390B">
        <w:rPr>
          <w:lang w:val="nl-NL"/>
        </w:rPr>
        <w:t>t</w:t>
      </w:r>
      <w:r w:rsidR="00294C33">
        <w:rPr>
          <w:lang w:val="nl-NL"/>
        </w:rPr>
        <w:t xml:space="preserve">hị xã Kỳ Anh, </w:t>
      </w:r>
      <w:r w:rsidR="005E390B">
        <w:rPr>
          <w:lang w:val="nl-NL"/>
        </w:rPr>
        <w:t>t</w:t>
      </w:r>
      <w:r w:rsidR="00294C33">
        <w:rPr>
          <w:lang w:val="nl-NL"/>
        </w:rPr>
        <w:t xml:space="preserve">hị xã Hồng Lĩnh; </w:t>
      </w:r>
      <w:r w:rsidR="00294C33">
        <w:t xml:space="preserve">đầu tư hạ tầng các khu kinh tế, khu công nghiệp; hỗ trợ phát triển sản xuất; đầu tư cho các lĩnh vực văn hóa, y tế; </w:t>
      </w:r>
      <w:r w:rsidR="00003672">
        <w:t>các dự án trọng điểm, cấp bách của địa phương</w:t>
      </w:r>
      <w:r w:rsidR="00984292">
        <w:t>;</w:t>
      </w:r>
      <w:r w:rsidR="00003672">
        <w:t xml:space="preserve"> </w:t>
      </w:r>
      <w:r w:rsidR="00294C33" w:rsidRPr="00C47E18">
        <w:rPr>
          <w:lang w:val="nl-NL"/>
        </w:rPr>
        <w:t>các địa bàn có điều kiện kinh tế - xã hội khó khăn và đặc biệt khó khăn nhằm thu hẹp dần khoảng cách về trình độ phát triển kinh tế, thu nhập và mức sống</w:t>
      </w:r>
      <w:r w:rsidR="00294C33">
        <w:rPr>
          <w:lang w:val="nl-NL"/>
        </w:rPr>
        <w:t xml:space="preserve"> của dân cư giữa các vùng, miền.</w:t>
      </w:r>
      <w:r w:rsidR="00352206">
        <w:rPr>
          <w:lang w:val="nl-NL"/>
        </w:rPr>
        <w:t xml:space="preserve"> </w:t>
      </w:r>
    </w:p>
    <w:p w:rsidR="00977BC6" w:rsidRDefault="00977BC6" w:rsidP="00442D9F">
      <w:pPr>
        <w:spacing w:before="80"/>
        <w:ind w:firstLine="720"/>
        <w:jc w:val="both"/>
        <w:rPr>
          <w:b/>
          <w:lang w:val="en-GB"/>
        </w:rPr>
      </w:pPr>
      <w:r>
        <w:rPr>
          <w:b/>
          <w:lang w:val="en-GB"/>
        </w:rPr>
        <w:t>2. Tồn tại, hạn chế</w:t>
      </w:r>
    </w:p>
    <w:p w:rsidR="006E04BC" w:rsidRDefault="00D00655" w:rsidP="00442D9F">
      <w:pPr>
        <w:widowControl w:val="0"/>
        <w:spacing w:before="80"/>
        <w:ind w:firstLine="720"/>
        <w:jc w:val="both"/>
        <w:rPr>
          <w:lang w:val="en-GB"/>
        </w:rPr>
      </w:pPr>
      <w:r w:rsidRPr="00D00655">
        <w:rPr>
          <w:lang w:val="en-GB"/>
        </w:rPr>
        <w:t>-</w:t>
      </w:r>
      <w:r w:rsidR="00541D10">
        <w:rPr>
          <w:lang w:val="en-GB"/>
        </w:rPr>
        <w:t xml:space="preserve"> </w:t>
      </w:r>
      <w:r w:rsidR="009A7D02">
        <w:rPr>
          <w:lang w:val="en-GB"/>
        </w:rPr>
        <w:t xml:space="preserve">Do cân đối ngân sách địa phương còn khó khăn, nhu cầu chi thường xuyên lớn nên khả năng cân đối nguồn Ngân sách tỉnh </w:t>
      </w:r>
      <w:r w:rsidR="00477207">
        <w:rPr>
          <w:lang w:val="en-GB"/>
        </w:rPr>
        <w:t xml:space="preserve">đưa vào kế hoạch đầu tư </w:t>
      </w:r>
      <w:r w:rsidR="00477207">
        <w:rPr>
          <w:lang w:val="en-GB"/>
        </w:rPr>
        <w:lastRenderedPageBreak/>
        <w:t xml:space="preserve">công trung hạn </w:t>
      </w:r>
      <w:r w:rsidR="009A7D02">
        <w:rPr>
          <w:lang w:val="en-GB"/>
        </w:rPr>
        <w:t xml:space="preserve">thấp </w:t>
      </w:r>
      <w:r w:rsidR="00CA3C1C">
        <w:rPr>
          <w:lang w:val="en-GB"/>
        </w:rPr>
        <w:t>dẫn</w:t>
      </w:r>
      <w:r w:rsidR="00B73E80">
        <w:rPr>
          <w:lang w:val="en-GB"/>
        </w:rPr>
        <w:t xml:space="preserve"> đến nhiều dự án</w:t>
      </w:r>
      <w:r w:rsidR="005E4FE9">
        <w:rPr>
          <w:lang w:val="en-GB"/>
        </w:rPr>
        <w:t xml:space="preserve"> đã triển khai dở dang trong giai đoạn trước không cân đối đủ nguồn lực để hoàn thành</w:t>
      </w:r>
      <w:r w:rsidR="005E4FE9">
        <w:rPr>
          <w:rStyle w:val="FootnoteReference"/>
          <w:lang w:val="en-GB"/>
        </w:rPr>
        <w:footnoteReference w:id="18"/>
      </w:r>
      <w:r w:rsidR="005E4FE9">
        <w:rPr>
          <w:lang w:val="en-GB"/>
        </w:rPr>
        <w:t xml:space="preserve">; các đề án, chính sách phát triển kinh tế xã hội, </w:t>
      </w:r>
      <w:r w:rsidR="00CA3C1C">
        <w:rPr>
          <w:lang w:val="en-GB"/>
        </w:rPr>
        <w:t xml:space="preserve">nhất </w:t>
      </w:r>
      <w:r w:rsidR="00247D4E">
        <w:rPr>
          <w:lang w:val="en-GB"/>
        </w:rPr>
        <w:t xml:space="preserve">là </w:t>
      </w:r>
      <w:r w:rsidR="005E4FE9">
        <w:rPr>
          <w:lang w:val="en-GB"/>
        </w:rPr>
        <w:t>trong</w:t>
      </w:r>
      <w:r w:rsidR="00247D4E">
        <w:rPr>
          <w:lang w:val="en-GB"/>
        </w:rPr>
        <w:t xml:space="preserve"> các</w:t>
      </w:r>
      <w:r w:rsidR="005E4FE9">
        <w:rPr>
          <w:lang w:val="en-GB"/>
        </w:rPr>
        <w:t xml:space="preserve"> lĩnh vực</w:t>
      </w:r>
      <w:r w:rsidR="00CA3C1C">
        <w:rPr>
          <w:lang w:val="en-GB"/>
        </w:rPr>
        <w:t xml:space="preserve"> </w:t>
      </w:r>
      <w:r w:rsidR="00027A20">
        <w:rPr>
          <w:lang w:val="en-GB"/>
        </w:rPr>
        <w:t>văn hóa,</w:t>
      </w:r>
      <w:r w:rsidR="00CA3C1C">
        <w:rPr>
          <w:lang w:val="en-GB"/>
        </w:rPr>
        <w:t xml:space="preserve"> xã hội triển khai trong giai đoạn trước còn dở dang </w:t>
      </w:r>
      <w:r w:rsidR="00731FB5">
        <w:rPr>
          <w:lang w:val="en-GB"/>
        </w:rPr>
        <w:t>chưa được cân đối trong kế hoạch trung hạn</w:t>
      </w:r>
      <w:r w:rsidR="00705224">
        <w:rPr>
          <w:rStyle w:val="FootnoteReference"/>
          <w:lang w:val="en-GB"/>
        </w:rPr>
        <w:footnoteReference w:id="19"/>
      </w:r>
      <w:r w:rsidR="00CA3C1C">
        <w:rPr>
          <w:lang w:val="en-GB"/>
        </w:rPr>
        <w:t>.</w:t>
      </w:r>
    </w:p>
    <w:p w:rsidR="006B0FE0" w:rsidRDefault="006B0FE0" w:rsidP="00442D9F">
      <w:pPr>
        <w:spacing w:before="80"/>
        <w:ind w:firstLine="720"/>
        <w:jc w:val="both"/>
        <w:rPr>
          <w:lang w:val="it-IT"/>
        </w:rPr>
      </w:pPr>
      <w:r>
        <w:rPr>
          <w:lang w:val="it-IT"/>
        </w:rPr>
        <w:t>-</w:t>
      </w:r>
      <w:r w:rsidR="004437D6">
        <w:rPr>
          <w:lang w:val="it-IT"/>
        </w:rPr>
        <w:t xml:space="preserve"> Nguồn vốn hỗ trợ từ Trung ương giảm mạnh so với giai đoạn 2011-2015 (trong đó: Ngân sách Trung ương giảm</w:t>
      </w:r>
      <w:r w:rsidR="0098410C">
        <w:rPr>
          <w:lang w:val="it-IT"/>
        </w:rPr>
        <w:t xml:space="preserve"> 53%, Trái phiếu Chỉnh phủ giảm 83%)</w:t>
      </w:r>
      <w:r w:rsidR="00D97D47">
        <w:rPr>
          <w:lang w:val="it-IT"/>
        </w:rPr>
        <w:t xml:space="preserve"> </w:t>
      </w:r>
      <w:r w:rsidR="002C322E">
        <w:rPr>
          <w:lang w:val="it-IT"/>
        </w:rPr>
        <w:t>dẫn đến</w:t>
      </w:r>
      <w:r w:rsidR="00D97D47">
        <w:rPr>
          <w:lang w:val="it-IT"/>
        </w:rPr>
        <w:t xml:space="preserve"> n</w:t>
      </w:r>
      <w:r w:rsidR="00D46905">
        <w:rPr>
          <w:lang w:val="it-IT"/>
        </w:rPr>
        <w:t xml:space="preserve">hiều dự án </w:t>
      </w:r>
      <w:r w:rsidR="00B73E80">
        <w:rPr>
          <w:lang w:val="it-IT"/>
        </w:rPr>
        <w:t xml:space="preserve">lớn, </w:t>
      </w:r>
      <w:r w:rsidR="00D46905">
        <w:rPr>
          <w:lang w:val="it-IT"/>
        </w:rPr>
        <w:t xml:space="preserve">trọng điểm chưa cân đối được vốn </w:t>
      </w:r>
      <w:r w:rsidR="00D97D47">
        <w:rPr>
          <w:lang w:val="it-IT"/>
        </w:rPr>
        <w:t xml:space="preserve">để triển khai trong </w:t>
      </w:r>
      <w:r w:rsidR="00D46905">
        <w:rPr>
          <w:lang w:val="it-IT"/>
        </w:rPr>
        <w:t>kế hoạch đầu tư trung hạn giai đoạn 2016-2020</w:t>
      </w:r>
      <w:r w:rsidR="00D97D47">
        <w:rPr>
          <w:lang w:val="it-IT"/>
        </w:rPr>
        <w:t>.</w:t>
      </w:r>
      <w:r w:rsidR="00105AF7">
        <w:rPr>
          <w:lang w:val="it-IT"/>
        </w:rPr>
        <w:t xml:space="preserve"> </w:t>
      </w:r>
      <w:r w:rsidR="00105AF7">
        <w:rPr>
          <w:lang w:val="nl-NL"/>
        </w:rPr>
        <w:t xml:space="preserve">Mặt khác </w:t>
      </w:r>
      <w:r w:rsidR="009E397B">
        <w:rPr>
          <w:lang w:val="nl-NL"/>
        </w:rPr>
        <w:t xml:space="preserve">kế hoạch năm 2017 theo quy định </w:t>
      </w:r>
      <w:r w:rsidR="00105AF7">
        <w:rPr>
          <w:lang w:val="nl-NL"/>
        </w:rPr>
        <w:t>không được khởi công mới, nên theo p</w:t>
      </w:r>
      <w:r w:rsidR="00105AF7" w:rsidRPr="00456B98">
        <w:rPr>
          <w:lang w:val="nl-NL"/>
        </w:rPr>
        <w:t xml:space="preserve">hương án phân bổ </w:t>
      </w:r>
      <w:r w:rsidR="00105AF7">
        <w:rPr>
          <w:lang w:val="nl-NL"/>
        </w:rPr>
        <w:t xml:space="preserve">vốn ngân sách trung ương </w:t>
      </w:r>
      <w:r w:rsidR="00EB022A" w:rsidRPr="00456B98">
        <w:rPr>
          <w:lang w:val="nl-NL"/>
        </w:rPr>
        <w:t>c</w:t>
      </w:r>
      <w:r w:rsidR="00EB022A">
        <w:rPr>
          <w:lang w:val="nl-NL"/>
        </w:rPr>
        <w:t>ó</w:t>
      </w:r>
      <w:r w:rsidR="00EB022A" w:rsidRPr="00456B98">
        <w:rPr>
          <w:lang w:val="nl-NL"/>
        </w:rPr>
        <w:t xml:space="preserve"> </w:t>
      </w:r>
      <w:r w:rsidR="00EB022A">
        <w:rPr>
          <w:lang w:val="nl-NL"/>
        </w:rPr>
        <w:t>1</w:t>
      </w:r>
      <w:r w:rsidR="005A687F">
        <w:rPr>
          <w:lang w:val="nl-NL"/>
        </w:rPr>
        <w:t>4</w:t>
      </w:r>
      <w:r w:rsidR="00EB022A">
        <w:rPr>
          <w:lang w:val="nl-NL"/>
        </w:rPr>
        <w:t xml:space="preserve"> dự án </w:t>
      </w:r>
      <w:r w:rsidR="00105AF7" w:rsidRPr="00456B98">
        <w:rPr>
          <w:lang w:val="nl-NL"/>
        </w:rPr>
        <w:t>khởi công mới trong giai đoạn 2016-2020</w:t>
      </w:r>
      <w:r w:rsidR="00105AF7">
        <w:rPr>
          <w:color w:val="FF0000"/>
          <w:lang w:val="nl-NL"/>
        </w:rPr>
        <w:t xml:space="preserve"> </w:t>
      </w:r>
      <w:r w:rsidR="00105AF7" w:rsidRPr="00456B98">
        <w:rPr>
          <w:lang w:val="nl-NL"/>
        </w:rPr>
        <w:t>p</w:t>
      </w:r>
      <w:r w:rsidR="00105AF7">
        <w:rPr>
          <w:lang w:val="nl-NL"/>
        </w:rPr>
        <w:t>hải giãn tiến độ và thời gian thực hiện ra sau năm 2020.</w:t>
      </w:r>
    </w:p>
    <w:p w:rsidR="00D46905" w:rsidRPr="000D2670" w:rsidRDefault="00D46905" w:rsidP="00442D9F">
      <w:pPr>
        <w:spacing w:before="80"/>
        <w:ind w:firstLine="720"/>
        <w:jc w:val="both"/>
      </w:pPr>
      <w:r>
        <w:rPr>
          <w:lang w:val="it-IT"/>
        </w:rPr>
        <w:t xml:space="preserve">- Cơ chế chính sách thu hút vốn của khu vực tư nhân đầu tư cơ sở hạ tầng và dịch vụ công theo các hình thức PPP và xã hội hóa chưa được hoàn thiện làm </w:t>
      </w:r>
      <w:r w:rsidRPr="000D2670">
        <w:t>hạn chế hiệu quả đầu tư các hình thức này.</w:t>
      </w:r>
    </w:p>
    <w:p w:rsidR="007847B2" w:rsidRDefault="007847B2" w:rsidP="00442D9F">
      <w:pPr>
        <w:spacing w:before="80"/>
        <w:ind w:firstLine="720"/>
        <w:jc w:val="both"/>
      </w:pPr>
      <w:r w:rsidRPr="000D2670">
        <w:t>- Chủ trương đầu tư dự án sử dụng vốn NSTW xác định theo nguyên tắc, tiêu chí tại Quyết định 40/QĐ-TTg (NSTW hỗ trợ 100% đối với dự án nhóm B), nhưng việc thẩm định nguồn vốn và khả năng cân đối vốn thường không đạt tỷ lệ này, dẫn đến phải rà soát, cắt giảm quy mô dự án để phù hợp với khả năng cân đối trước khi quyết định chủ trương đầu tư, nhất là đối với những dự án cần hoàn thiện tổng thể, đồng bộ để phát huy hiệu quả đầu tư</w:t>
      </w:r>
      <w:r w:rsidR="00B92C0B">
        <w:rPr>
          <w:rStyle w:val="FootnoteReference"/>
        </w:rPr>
        <w:footnoteReference w:id="20"/>
      </w:r>
      <w:r w:rsidRPr="000D2670">
        <w:t>.</w:t>
      </w:r>
    </w:p>
    <w:p w:rsidR="000F2084" w:rsidRPr="000D2670" w:rsidRDefault="000F2084" w:rsidP="00442D9F">
      <w:pPr>
        <w:spacing w:before="80"/>
        <w:ind w:firstLine="720"/>
        <w:jc w:val="both"/>
      </w:pPr>
      <w:r w:rsidRPr="00557011">
        <w:t>- Đây là lần đầu tiên xây dựng kế hoạch đầu tư công trung hạn cho cả 5 năm nên quá trình chuyển đổi nhận thức, cách làm từ kế hoạch hằng năm sang kế hoạch trung hạn 5 năm của các đơn vị, địa phương còn hạn chế, vẫn còn nặng tư duy, cách làm cũ; tư tưởng ỷ lại, bao cấp, trông chờ vào nguồn ngân sách nhà nước. Quá trình lựa chọn, đề xuất danh mục dự án ở một số đơn vị chưa bám sát vào tình hình thực tế; đề xuất quá nhiều dự án với tổng mức đầu tư lớn đến gây khó khăn trong công tác thẩm định đề xuất chủ trương đầu tư</w:t>
      </w:r>
      <w:r w:rsidR="009224EA">
        <w:t>.</w:t>
      </w:r>
    </w:p>
    <w:p w:rsidR="00D253E0" w:rsidRDefault="00D253E0" w:rsidP="00442D9F">
      <w:pPr>
        <w:spacing w:before="80"/>
        <w:ind w:firstLine="720"/>
        <w:jc w:val="both"/>
        <w:rPr>
          <w:b/>
          <w:lang w:val="en-GB"/>
        </w:rPr>
      </w:pPr>
      <w:r>
        <w:rPr>
          <w:b/>
          <w:lang w:val="en-GB"/>
        </w:rPr>
        <w:t>VI. Các giải pháp triển khai thực hiện kế hoạch đầu tư công trung hạn giai đoạn 2016-2020</w:t>
      </w:r>
    </w:p>
    <w:p w:rsidR="00B10D2A" w:rsidRDefault="001E54BA" w:rsidP="00442D9F">
      <w:pPr>
        <w:spacing w:before="80"/>
        <w:ind w:firstLine="720"/>
        <w:jc w:val="both"/>
        <w:rPr>
          <w:b/>
          <w:lang w:val="en-GB"/>
        </w:rPr>
      </w:pPr>
      <w:r>
        <w:rPr>
          <w:b/>
          <w:lang w:val="en-GB"/>
        </w:rPr>
        <w:t>1. Nhóm giải pháp huy động tối đa và sử dụng có hiệu quả nguồn lực cho đầu tư phát triển giai đoạn 2016-2020</w:t>
      </w:r>
    </w:p>
    <w:p w:rsidR="000D2670" w:rsidRPr="000D2670" w:rsidRDefault="000D2670" w:rsidP="00442D9F">
      <w:pPr>
        <w:spacing w:before="80"/>
        <w:ind w:firstLine="720"/>
        <w:jc w:val="both"/>
        <w:rPr>
          <w:lang w:val="en-GB"/>
        </w:rPr>
      </w:pPr>
      <w:r w:rsidRPr="000D2670">
        <w:rPr>
          <w:lang w:val="en-GB"/>
        </w:rPr>
        <w:t xml:space="preserve">- Huy động tối đa các nguồn vốn cho đầu tư phát triển thông qua các hình thức xã hội hóa đầu tư, nhất là trong các lĩnh vực văn hoá, y tế, giáo dục đào tạo, </w:t>
      </w:r>
      <w:r w:rsidRPr="000D2670">
        <w:rPr>
          <w:lang w:val="en-GB"/>
        </w:rPr>
        <w:lastRenderedPageBreak/>
        <w:t xml:space="preserve">môi trường,... tập trung xây dựng và áp dụng linh hoạt các cơ chế, chính sách thu hút đầu tư theo hình thức BOT, BT, PPP,... huy động tối đa các nguồn vốn của các tổ chức, doanh nghiệp và nhân dân đầu tư cơ sở hạ tầng; khuyến khích, ưu đãi các thành phần kinh tế tham gia đầu tư xây dựng nông thôn mới và các lĩnh vực xã hội. </w:t>
      </w:r>
      <w:proofErr w:type="gramStart"/>
      <w:r w:rsidRPr="000D2670">
        <w:rPr>
          <w:lang w:val="en-GB"/>
        </w:rPr>
        <w:t>Lồng ghép có hiệu quả nguồn vốn đầu tư của các doanh nghiệp, dân cư với nguồn vốn từ ngân sách nhà nước.</w:t>
      </w:r>
      <w:proofErr w:type="gramEnd"/>
    </w:p>
    <w:p w:rsidR="003D68F1" w:rsidRDefault="003D68F1" w:rsidP="00442D9F">
      <w:pPr>
        <w:spacing w:before="80"/>
        <w:ind w:firstLine="720"/>
        <w:jc w:val="both"/>
        <w:rPr>
          <w:lang w:val="en-GB"/>
        </w:rPr>
      </w:pPr>
      <w:r>
        <w:rPr>
          <w:lang w:val="en-GB"/>
        </w:rPr>
        <w:t xml:space="preserve">- </w:t>
      </w:r>
      <w:r w:rsidRPr="003D68F1">
        <w:rPr>
          <w:lang w:val="en-GB"/>
        </w:rPr>
        <w:t>Triển khai rà soát lại các cơ chế chính sách đã ban hành giai đoạn 2011-2015 đồng thời cơ cấu lại các khoản chi, đảm bảo hợp lý, theo hướng đảm bảo khả thi nguồn vốn Ngân sách tỉnh dành cho đầu tư phát triển</w:t>
      </w:r>
      <w:r w:rsidR="00C0489D">
        <w:rPr>
          <w:lang w:val="en-GB"/>
        </w:rPr>
        <w:t>.</w:t>
      </w:r>
    </w:p>
    <w:p w:rsidR="000D2670" w:rsidRDefault="000D2670" w:rsidP="00442D9F">
      <w:pPr>
        <w:spacing w:before="80"/>
        <w:ind w:firstLine="720"/>
        <w:jc w:val="both"/>
        <w:rPr>
          <w:lang w:val="en-GB"/>
        </w:rPr>
      </w:pPr>
      <w:r w:rsidRPr="00F9295B">
        <w:rPr>
          <w:lang w:val="en-GB"/>
        </w:rPr>
        <w:t>- Tiếp tục tranh thủ sự ủng hộ của Chính phủ, các bộ, ngành Trung ương và các cơ quan ngoạ</w:t>
      </w:r>
      <w:r w:rsidRPr="000B043D">
        <w:rPr>
          <w:lang w:val="en-GB"/>
        </w:rPr>
        <w:t>i giao để tiếp xúc, gặp gỡ, xúc tiến, vận động, thu hút nguồn vốn đầu tư từ bên ngoài (ODA, FDI, NGO) để phục vụ phát triển KT-XH.</w:t>
      </w:r>
      <w:r w:rsidR="00EF6963">
        <w:rPr>
          <w:lang w:val="en-GB"/>
        </w:rPr>
        <w:t xml:space="preserve"> Trong đó, đ</w:t>
      </w:r>
      <w:r w:rsidR="00CB4C57">
        <w:rPr>
          <w:lang w:val="en-GB"/>
        </w:rPr>
        <w:t>ối với các dự án ODA</w:t>
      </w:r>
      <w:r w:rsidR="000E443E">
        <w:rPr>
          <w:lang w:val="en-GB"/>
        </w:rPr>
        <w:t xml:space="preserve"> </w:t>
      </w:r>
      <w:r w:rsidR="00CC68CE">
        <w:rPr>
          <w:lang w:val="en-GB"/>
        </w:rPr>
        <w:t xml:space="preserve">do địa phương quản lý, giai đoạn </w:t>
      </w:r>
      <w:r w:rsidR="00EF6963">
        <w:rPr>
          <w:lang w:val="en-GB"/>
        </w:rPr>
        <w:t>2016-2020</w:t>
      </w:r>
      <w:r w:rsidR="00CC68CE">
        <w:rPr>
          <w:lang w:val="en-GB"/>
        </w:rPr>
        <w:t xml:space="preserve"> phải </w:t>
      </w:r>
      <w:r w:rsidR="000E443E">
        <w:rPr>
          <w:lang w:val="en-GB"/>
        </w:rPr>
        <w:t xml:space="preserve">thực hiện theo cơ chế cho vay </w:t>
      </w:r>
      <w:r w:rsidR="00CC68CE">
        <w:rPr>
          <w:lang w:val="en-GB"/>
        </w:rPr>
        <w:t>lại</w:t>
      </w:r>
      <w:r w:rsidR="00ED2CC1">
        <w:rPr>
          <w:lang w:val="en-GB"/>
        </w:rPr>
        <w:t>,</w:t>
      </w:r>
      <w:r w:rsidR="00CC68CE">
        <w:rPr>
          <w:lang w:val="en-GB"/>
        </w:rPr>
        <w:t xml:space="preserve"> do vậy </w:t>
      </w:r>
      <w:r w:rsidR="00CB4C57">
        <w:rPr>
          <w:lang w:val="en-GB"/>
        </w:rPr>
        <w:t xml:space="preserve">cần rà soát, lựa chọn </w:t>
      </w:r>
      <w:r w:rsidR="003A03FB">
        <w:rPr>
          <w:lang w:val="en-GB"/>
        </w:rPr>
        <w:t xml:space="preserve">kêu gọi những </w:t>
      </w:r>
      <w:r w:rsidR="00CB4C57">
        <w:rPr>
          <w:lang w:val="en-GB"/>
        </w:rPr>
        <w:t xml:space="preserve">dự án </w:t>
      </w:r>
      <w:r w:rsidR="000E443E">
        <w:rPr>
          <w:lang w:val="en-GB"/>
        </w:rPr>
        <w:t xml:space="preserve">thực sự thiết thực, có hiệu quả, đáp ứng được các mục tiêu </w:t>
      </w:r>
      <w:r w:rsidR="00EF6963">
        <w:rPr>
          <w:lang w:val="en-GB"/>
        </w:rPr>
        <w:t>phát triển kinh tế xã hội của địa phương</w:t>
      </w:r>
      <w:r w:rsidR="006542BB">
        <w:rPr>
          <w:lang w:val="en-GB"/>
        </w:rPr>
        <w:t xml:space="preserve"> và phù hợp với khả năng cân đối nguồn lực để hoàn trả; không kêu gọi đầu tư những dự án chưa thực sự cần thiết, không đáp ứng các mục tiêu phát triển của địa phương</w:t>
      </w:r>
      <w:r w:rsidR="003A03FB">
        <w:rPr>
          <w:lang w:val="en-GB"/>
        </w:rPr>
        <w:t>.</w:t>
      </w:r>
    </w:p>
    <w:p w:rsidR="003A6412" w:rsidRPr="00F9295B" w:rsidRDefault="003A6412" w:rsidP="00442D9F">
      <w:pPr>
        <w:spacing w:before="80"/>
        <w:ind w:firstLine="720"/>
        <w:jc w:val="both"/>
        <w:rPr>
          <w:lang w:val="en-GB"/>
        </w:rPr>
      </w:pPr>
      <w:r>
        <w:rPr>
          <w:lang w:val="en-GB"/>
        </w:rPr>
        <w:t>- Đối với đầu tư trực tiếp nước ngoài, cần có chính sách ưu tiên thu hút các dự án có công nghệ tiên tiến, hiện đại, thân thiện với môi trường, sản phẩm có sức cạnh tranh cao</w:t>
      </w:r>
      <w:r w:rsidR="00B15229">
        <w:rPr>
          <w:lang w:val="en-GB"/>
        </w:rPr>
        <w:t xml:space="preserve"> tham gia chuỗi giá trị toàn cầu của các tập đoàn xuyên quốc gia có tiềm lực vốn lớn, công nghệ mạnh</w:t>
      </w:r>
      <w:r>
        <w:rPr>
          <w:lang w:val="en-GB"/>
        </w:rPr>
        <w:t xml:space="preserve">. </w:t>
      </w:r>
      <w:r w:rsidRPr="00F53E7A">
        <w:rPr>
          <w:spacing w:val="-2"/>
          <w:lang w:val="da-DK"/>
        </w:rPr>
        <w:t xml:space="preserve">Ưu tiên thu hút </w:t>
      </w:r>
      <w:r w:rsidRPr="00F53E7A">
        <w:rPr>
          <w:spacing w:val="-2"/>
        </w:rPr>
        <w:t>các dự án công nghiệp chế biến, chế tạo, nông nghiệp công nghệ cao, kết cầu hạ tầng khu, cụm công nghiệp, hạ tầng đ</w:t>
      </w:r>
      <w:r>
        <w:rPr>
          <w:spacing w:val="-2"/>
        </w:rPr>
        <w:t>ô</w:t>
      </w:r>
      <w:r w:rsidRPr="00F53E7A">
        <w:rPr>
          <w:spacing w:val="-2"/>
        </w:rPr>
        <w:t xml:space="preserve"> thị.</w:t>
      </w:r>
      <w:r w:rsidR="00C42ED0">
        <w:rPr>
          <w:spacing w:val="-2"/>
        </w:rPr>
        <w:t xml:space="preserve"> Hạn chế các dự án khai thác khoáng sản không gắn với chế biến; không cấp phép đối với các dự án sử dụng lãng phí năng lượng, tài nguyên, sử dụng công nghệ lạc hậu, gây ô nhiễm môi trường.</w:t>
      </w:r>
    </w:p>
    <w:p w:rsidR="00897144" w:rsidRDefault="00897144" w:rsidP="00442D9F">
      <w:pPr>
        <w:spacing w:before="80"/>
        <w:ind w:firstLine="720"/>
        <w:jc w:val="both"/>
        <w:rPr>
          <w:b/>
          <w:lang w:val="en-GB"/>
        </w:rPr>
      </w:pPr>
      <w:r>
        <w:rPr>
          <w:b/>
          <w:lang w:val="en-GB"/>
        </w:rPr>
        <w:t>2. Nhóm giải pháp tăng cường quản lý đầu tư công</w:t>
      </w:r>
    </w:p>
    <w:p w:rsidR="00591064" w:rsidRPr="00591064" w:rsidRDefault="00591064" w:rsidP="00442D9F">
      <w:pPr>
        <w:spacing w:before="80"/>
        <w:ind w:firstLine="720"/>
        <w:jc w:val="both"/>
        <w:rPr>
          <w:lang w:val="en-GB"/>
        </w:rPr>
      </w:pPr>
      <w:r w:rsidRPr="00591064">
        <w:rPr>
          <w:lang w:val="en-GB"/>
        </w:rPr>
        <w:t>- Quán triệt và thực hiện nghiêm túc các quy định về quản lý đầu tư và xây dựng, nhất là các quy định mới ban hành; đồng thời, triển khai kịp thời việc rà soát, điều chỉnh các văn bản liên quan đến quản lý đầu xây dựng cơ bản cho phù hợp với tình hình thực tế của tỉnh và quy định hiện hành của Nhà nước.</w:t>
      </w:r>
    </w:p>
    <w:p w:rsidR="00591064" w:rsidRDefault="00591064" w:rsidP="00442D9F">
      <w:pPr>
        <w:spacing w:before="80"/>
        <w:ind w:firstLine="720"/>
        <w:jc w:val="both"/>
        <w:rPr>
          <w:lang w:val="en-GB"/>
        </w:rPr>
      </w:pPr>
      <w:r>
        <w:rPr>
          <w:lang w:val="en-GB"/>
        </w:rPr>
        <w:t xml:space="preserve">- Tăng cường công tác rà soát để đảm bảo các chương trình, dự án bố trí trong kế hoạch đầu tư công trung hạn và hằng năm phải có đầy đủ các thủ tục đầu tư </w:t>
      </w:r>
      <w:proofErr w:type="gramStart"/>
      <w:r>
        <w:rPr>
          <w:lang w:val="en-GB"/>
        </w:rPr>
        <w:t>theo</w:t>
      </w:r>
      <w:proofErr w:type="gramEnd"/>
      <w:r>
        <w:rPr>
          <w:lang w:val="en-GB"/>
        </w:rPr>
        <w:t xml:space="preserve"> quy định của Luật Đầu tư công.</w:t>
      </w:r>
    </w:p>
    <w:p w:rsidR="00A471C2" w:rsidRDefault="00A471C2" w:rsidP="00442D9F">
      <w:pPr>
        <w:widowControl w:val="0"/>
        <w:spacing w:before="80"/>
        <w:ind w:firstLine="720"/>
        <w:jc w:val="both"/>
        <w:rPr>
          <w:lang w:val="en-GB"/>
        </w:rPr>
      </w:pPr>
      <w:r>
        <w:rPr>
          <w:lang w:val="en-GB"/>
        </w:rPr>
        <w:t>- Trong việc phân bổ vốn cho từng dự án cụ thể phải thực hiện theo đúng thứ tự ưu tiên đã được quy định trong Luật Đầu tư công và Nghị định số 77/2015/NĐ-CP ngày 10/9/2015 của Chính phủ về kế hoạch đầu tư công trung hạn và hằng năm, Nghị quyết của Ủy ban thường vụ Quốc hội, Quyết định của Thủ tướng Chính phủ và Nghị quyết của Hội đồng nhân dân tỉnh về các nguyên tắc, tiêu chí và định mức phân bổ vốn đầu tư phát triển nguồn ngân sách nhà nước.</w:t>
      </w:r>
    </w:p>
    <w:p w:rsidR="007121C0" w:rsidRDefault="007121C0" w:rsidP="00442D9F">
      <w:pPr>
        <w:spacing w:before="80"/>
        <w:ind w:firstLine="720"/>
        <w:jc w:val="both"/>
        <w:rPr>
          <w:lang w:val="en-GB"/>
        </w:rPr>
      </w:pPr>
      <w:proofErr w:type="gramStart"/>
      <w:r>
        <w:rPr>
          <w:lang w:val="en-GB"/>
        </w:rPr>
        <w:lastRenderedPageBreak/>
        <w:t>- Đi đôi với việc ưu tiên bố trí vốn để giải quyết nợ đọng xây dựng cơ bản và hoàn trả các khoản vốn ứng trước, các cấp, các ngành phải tăng cường các biện pháp không để phát sinh nợ đọng mới.</w:t>
      </w:r>
      <w:proofErr w:type="gramEnd"/>
      <w:r>
        <w:rPr>
          <w:lang w:val="en-GB"/>
        </w:rPr>
        <w:t xml:space="preserve"> </w:t>
      </w:r>
      <w:proofErr w:type="gramStart"/>
      <w:r>
        <w:rPr>
          <w:lang w:val="en-GB"/>
        </w:rPr>
        <w:t>Không bố trí vốn để thanh toán các khoản nợ đọng phát sinh sau ngày 31/12/2014.</w:t>
      </w:r>
      <w:proofErr w:type="gramEnd"/>
      <w:r>
        <w:rPr>
          <w:lang w:val="en-GB"/>
        </w:rPr>
        <w:t xml:space="preserve"> </w:t>
      </w:r>
      <w:proofErr w:type="gramStart"/>
      <w:r>
        <w:rPr>
          <w:lang w:val="en-GB"/>
        </w:rPr>
        <w:t>Hạn chế tối đa việc ứng trước vốn kế hoạch.</w:t>
      </w:r>
      <w:proofErr w:type="gramEnd"/>
      <w:r>
        <w:rPr>
          <w:lang w:val="en-GB"/>
        </w:rPr>
        <w:t xml:space="preserve"> Trường hợp cần thiết ứng trước, phải kiểm soát chặt chẽ đối với từng dự án và phải bảo đảm có nguồn thanh toán vốn ứng trước và có trong kế </w:t>
      </w:r>
      <w:proofErr w:type="gramStart"/>
      <w:r>
        <w:rPr>
          <w:lang w:val="en-GB"/>
        </w:rPr>
        <w:t>hoạch  đầu</w:t>
      </w:r>
      <w:proofErr w:type="gramEnd"/>
      <w:r>
        <w:rPr>
          <w:lang w:val="en-GB"/>
        </w:rPr>
        <w:t xml:space="preserve"> tư công trung hạn.</w:t>
      </w:r>
    </w:p>
    <w:p w:rsidR="00AA2F10" w:rsidRDefault="007121C0" w:rsidP="00442D9F">
      <w:pPr>
        <w:spacing w:before="80"/>
        <w:ind w:firstLine="720"/>
        <w:jc w:val="both"/>
        <w:rPr>
          <w:lang w:val="en-GB"/>
        </w:rPr>
      </w:pPr>
      <w:r>
        <w:rPr>
          <w:lang w:val="en-GB"/>
        </w:rPr>
        <w:t xml:space="preserve">- Tăng cường công tác </w:t>
      </w:r>
      <w:proofErr w:type="gramStart"/>
      <w:r>
        <w:rPr>
          <w:lang w:val="en-GB"/>
        </w:rPr>
        <w:t>theo</w:t>
      </w:r>
      <w:proofErr w:type="gramEnd"/>
      <w:r>
        <w:rPr>
          <w:lang w:val="en-GB"/>
        </w:rPr>
        <w:t xml:space="preserve"> dõi, đánh giá thực hiện kế hoạch đầu tư công và thực hiện các chương trình, dự án đầu tư. Thực hiện nghiêm chế độ báo cáo tình hình thực hiện kế hoạch đầu tư công trung hạn và hằng năm </w:t>
      </w:r>
      <w:proofErr w:type="gramStart"/>
      <w:r>
        <w:rPr>
          <w:lang w:val="en-GB"/>
        </w:rPr>
        <w:t>theo</w:t>
      </w:r>
      <w:proofErr w:type="gramEnd"/>
      <w:r>
        <w:rPr>
          <w:lang w:val="en-GB"/>
        </w:rPr>
        <w:t xml:space="preserve"> quy định</w:t>
      </w:r>
    </w:p>
    <w:p w:rsidR="00AA2F10" w:rsidRDefault="003C64C2" w:rsidP="00442D9F">
      <w:pPr>
        <w:spacing w:before="80"/>
        <w:ind w:firstLine="720"/>
        <w:jc w:val="both"/>
        <w:rPr>
          <w:b/>
          <w:lang w:val="en-GB"/>
        </w:rPr>
      </w:pPr>
      <w:r>
        <w:rPr>
          <w:b/>
          <w:lang w:val="en-GB"/>
        </w:rPr>
        <w:t>3. Nhóm giải pháp c</w:t>
      </w:r>
      <w:r w:rsidR="00AA2F10" w:rsidRPr="00AA2F10">
        <w:rPr>
          <w:b/>
          <w:lang w:val="en-GB"/>
        </w:rPr>
        <w:t>hỉ đạo</w:t>
      </w:r>
      <w:r w:rsidR="00113402">
        <w:rPr>
          <w:b/>
          <w:lang w:val="en-GB"/>
        </w:rPr>
        <w:t>,</w:t>
      </w:r>
      <w:r w:rsidR="00AA2F10" w:rsidRPr="00AA2F10">
        <w:rPr>
          <w:b/>
          <w:lang w:val="en-GB"/>
        </w:rPr>
        <w:t xml:space="preserve"> điều hành</w:t>
      </w:r>
      <w:r>
        <w:rPr>
          <w:b/>
          <w:lang w:val="en-GB"/>
        </w:rPr>
        <w:t xml:space="preserve"> thực hiện kế hoạch</w:t>
      </w:r>
    </w:p>
    <w:p w:rsidR="00185D93" w:rsidRDefault="00611369" w:rsidP="00442D9F">
      <w:pPr>
        <w:spacing w:before="80"/>
        <w:ind w:firstLine="720"/>
        <w:jc w:val="both"/>
        <w:rPr>
          <w:lang w:val="en-GB"/>
        </w:rPr>
      </w:pPr>
      <w:r>
        <w:rPr>
          <w:lang w:val="en-GB"/>
        </w:rPr>
        <w:t xml:space="preserve">- </w:t>
      </w:r>
      <w:r w:rsidR="00A22DDE">
        <w:rPr>
          <w:lang w:val="en-GB"/>
        </w:rPr>
        <w:t>Các Sở</w:t>
      </w:r>
      <w:r w:rsidR="00BD7149">
        <w:rPr>
          <w:lang w:val="en-GB"/>
        </w:rPr>
        <w:t>, ban, ngành, đoàn thể cấp tỉnh,</w:t>
      </w:r>
      <w:r w:rsidR="00A22DDE">
        <w:rPr>
          <w:lang w:val="en-GB"/>
        </w:rPr>
        <w:t xml:space="preserve"> Ủy ban nhân dân các </w:t>
      </w:r>
      <w:r w:rsidR="008621D3">
        <w:rPr>
          <w:lang w:val="en-GB"/>
        </w:rPr>
        <w:t>huyện, thành phố, thị xã</w:t>
      </w:r>
      <w:r w:rsidR="00A22DDE">
        <w:rPr>
          <w:lang w:val="en-GB"/>
        </w:rPr>
        <w:t xml:space="preserve"> và các đơn vị chủ đầu tư được giao kế hoạch </w:t>
      </w:r>
      <w:r w:rsidR="00CC3AB4">
        <w:rPr>
          <w:lang w:val="en-GB"/>
        </w:rPr>
        <w:t>đầu tư trung hạn:</w:t>
      </w:r>
      <w:r w:rsidR="00A22DDE">
        <w:rPr>
          <w:lang w:val="en-GB"/>
        </w:rPr>
        <w:t xml:space="preserve"> Xây dựng lộ trình triển khai kế hoạch theo đúng danh mục và mức vốn được giao trong kế hoạch trung hạn và hằng năm</w:t>
      </w:r>
      <w:r w:rsidR="00702881">
        <w:rPr>
          <w:lang w:val="en-GB"/>
        </w:rPr>
        <w:t>.</w:t>
      </w:r>
      <w:r w:rsidR="00A22DDE">
        <w:rPr>
          <w:lang w:val="en-GB"/>
        </w:rPr>
        <w:t xml:space="preserve"> </w:t>
      </w:r>
      <w:r w:rsidR="00C272BB">
        <w:rPr>
          <w:lang w:val="en-GB"/>
        </w:rPr>
        <w:t>K</w:t>
      </w:r>
      <w:r w:rsidR="00A22DDE">
        <w:rPr>
          <w:lang w:val="en-GB"/>
        </w:rPr>
        <w:t>iểm soát chặt chẽ, k</w:t>
      </w:r>
      <w:r w:rsidR="00933DA0">
        <w:rPr>
          <w:lang w:val="en-GB"/>
        </w:rPr>
        <w:t xml:space="preserve">hông để phát sinh nợ đọng XDCB </w:t>
      </w:r>
      <w:proofErr w:type="gramStart"/>
      <w:r w:rsidR="00933DA0">
        <w:rPr>
          <w:lang w:val="en-GB"/>
        </w:rPr>
        <w:t>theo</w:t>
      </w:r>
      <w:proofErr w:type="gramEnd"/>
      <w:r w:rsidR="00933DA0">
        <w:rPr>
          <w:lang w:val="en-GB"/>
        </w:rPr>
        <w:t xml:space="preserve"> đúng quy định của Luật Đầu tư công.</w:t>
      </w:r>
    </w:p>
    <w:p w:rsidR="00185D93" w:rsidRPr="00A22DDE" w:rsidRDefault="00185D93" w:rsidP="00442D9F">
      <w:pPr>
        <w:spacing w:before="80"/>
        <w:ind w:firstLine="720"/>
        <w:jc w:val="both"/>
        <w:rPr>
          <w:lang w:val="en-GB"/>
        </w:rPr>
      </w:pPr>
      <w:r>
        <w:rPr>
          <w:lang w:val="en-GB"/>
        </w:rPr>
        <w:t xml:space="preserve">- Ủy ban nhân dân các huyện, thành phố, thị xã tổ chức triển khai và chỉ đạo, hướng dẫn </w:t>
      </w:r>
      <w:r w:rsidR="00FB1A84">
        <w:rPr>
          <w:lang w:val="en-GB"/>
        </w:rPr>
        <w:t>Ủy ban nhân dân</w:t>
      </w:r>
      <w:r>
        <w:rPr>
          <w:lang w:val="en-GB"/>
        </w:rPr>
        <w:t xml:space="preserve"> cấp dưới xây dựng</w:t>
      </w:r>
      <w:r w:rsidR="009C50E7">
        <w:rPr>
          <w:lang w:val="en-GB"/>
        </w:rPr>
        <w:t>,</w:t>
      </w:r>
      <w:r>
        <w:rPr>
          <w:lang w:val="en-GB"/>
        </w:rPr>
        <w:t xml:space="preserve"> </w:t>
      </w:r>
      <w:r w:rsidR="0037279E">
        <w:rPr>
          <w:lang w:val="en-GB"/>
        </w:rPr>
        <w:t>trình Hội đồng nhân dân cùng cấp phê duyệt kế hoạch đầu tư trung hạn do cấp mình quản lý theo quy định của Luật Đầu tư công và các văn bản pháp luật hiện hành.</w:t>
      </w:r>
      <w:r w:rsidR="0010284A">
        <w:rPr>
          <w:lang w:val="en-GB"/>
        </w:rPr>
        <w:t xml:space="preserve"> Đối với nguồn thu tiền sử dụng đất phần ngân sách huyện, xã hưởng chỉ được dành cho đầu tư phát triển</w:t>
      </w:r>
      <w:r w:rsidR="00E76ECD">
        <w:rPr>
          <w:lang w:val="en-GB"/>
        </w:rPr>
        <w:t>, trong đó tập trung ưu tiên thực hiện chương trình mục tiêu quốc gia xây dựng nông thôn mới</w:t>
      </w:r>
      <w:r w:rsidR="0010284A">
        <w:rPr>
          <w:lang w:val="en-GB"/>
        </w:rPr>
        <w:t xml:space="preserve">; việc phân bổ </w:t>
      </w:r>
      <w:r w:rsidR="0010284A" w:rsidRPr="0010284A">
        <w:rPr>
          <w:lang w:val="en-GB"/>
        </w:rPr>
        <w:t xml:space="preserve">phải đảm bảo nguyên tắc chung </w:t>
      </w:r>
      <w:r w:rsidR="00E76ECD">
        <w:rPr>
          <w:lang w:val="en-GB"/>
        </w:rPr>
        <w:t xml:space="preserve">được </w:t>
      </w:r>
      <w:r w:rsidR="0010284A" w:rsidRPr="0010284A">
        <w:rPr>
          <w:lang w:val="en-GB"/>
        </w:rPr>
        <w:t>quy định tại Điều 4, Nghị quyết số 14/2016/NQ-HĐND ngày 24/9/2016 của Hội đồng nhân dân tỉnh.</w:t>
      </w:r>
    </w:p>
    <w:p w:rsidR="005A452F" w:rsidRDefault="009153B5" w:rsidP="00442D9F">
      <w:pPr>
        <w:spacing w:before="80"/>
        <w:ind w:firstLine="720"/>
        <w:jc w:val="both"/>
        <w:rPr>
          <w:lang w:val="en-GB"/>
        </w:rPr>
      </w:pPr>
      <w:r>
        <w:rPr>
          <w:lang w:val="en-GB"/>
        </w:rPr>
        <w:t>-</w:t>
      </w:r>
      <w:r w:rsidR="00A22DDE" w:rsidRPr="00A22DDE">
        <w:rPr>
          <w:lang w:val="en-GB"/>
        </w:rPr>
        <w:t xml:space="preserve"> Các ngành, các cấp chịu trách nhiệm trong việc quyết định chủ trương đầu tư, bảo đảm chất lượng lập báo cáo đề xuất, thẩm định, phê duyệt chủ trương đầu tư, quyết định đầu tư dự án nhằm khắc phục triệt để tình trạng chuẩn bị dự án sơ sài, không bảo đảm theo quy định của pháp luật, quyết định chủ trương đầu tư dàn trải, không hiệu quả, phê duyệt tổng mức đầu tư thiếu chính xác; chỉ quyết định chủ trương đầu tư những dự án thật sự cần thiết khi đã thẩm định, làm rõ hiệu quả của dự án, nguồn vốn, khả năng cân đối, bố trí vốn cho từng dự án, bảo đảm dự án được phê duyệt có đủ nguồn lực tài chính để thực hiện hoàn thành dự án.</w:t>
      </w:r>
    </w:p>
    <w:p w:rsidR="007121C0" w:rsidRDefault="00EB1408" w:rsidP="00B33794">
      <w:pPr>
        <w:spacing w:before="80" w:after="120"/>
        <w:ind w:firstLine="720"/>
        <w:jc w:val="both"/>
        <w:rPr>
          <w:lang w:val="en-GB"/>
        </w:rPr>
      </w:pPr>
      <w:r>
        <w:rPr>
          <w:lang w:val="en-GB"/>
        </w:rPr>
        <w:t>-</w:t>
      </w:r>
      <w:r w:rsidR="00A22DDE" w:rsidRPr="00A22DDE">
        <w:rPr>
          <w:lang w:val="en-GB"/>
        </w:rPr>
        <w:t xml:space="preserve"> </w:t>
      </w:r>
      <w:r w:rsidR="00224EC2">
        <w:rPr>
          <w:lang w:val="en-GB"/>
        </w:rPr>
        <w:t>Chủ động, t</w:t>
      </w:r>
      <w:r w:rsidR="00A22DDE" w:rsidRPr="00A22DDE">
        <w:rPr>
          <w:lang w:val="en-GB"/>
        </w:rPr>
        <w:t>ăng cường công tác tập huấn triển khai thực hiện Luật Đầu tư công và các văn bản hướng dẫn đối với các sở, ngành, UBND cấp huyện, cấp xã; nhất là đào tạo, bồi dưỡng đối với những cán bộ trực tiếp được giao xây dựng kế hoạch, triển khai các chương trình, dự án trong kế hoạch đầu tư công</w:t>
      </w:r>
      <w:proofErr w:type="gramStart"/>
      <w:r w:rsidR="00A22DDE" w:rsidRPr="00A22DDE">
        <w:rPr>
          <w:lang w:val="en-GB"/>
        </w:rPr>
        <w:t>.</w:t>
      </w:r>
      <w:r w:rsidR="00333D5B">
        <w:rPr>
          <w:lang w:val="en-GB"/>
        </w:rPr>
        <w:t>/</w:t>
      </w:r>
      <w:proofErr w:type="gramEnd"/>
      <w:r w:rsidR="00333D5B">
        <w:rPr>
          <w:lang w:val="en-GB"/>
        </w:rPr>
        <w:t>.</w:t>
      </w:r>
    </w:p>
    <w:tbl>
      <w:tblPr>
        <w:tblW w:w="9052" w:type="dxa"/>
        <w:tblLayout w:type="fixed"/>
        <w:tblLook w:val="0000" w:firstRow="0" w:lastRow="0" w:firstColumn="0" w:lastColumn="0" w:noHBand="0" w:noVBand="0"/>
      </w:tblPr>
      <w:tblGrid>
        <w:gridCol w:w="4503"/>
        <w:gridCol w:w="4549"/>
      </w:tblGrid>
      <w:tr w:rsidR="00442D9F" w:rsidRPr="00830498" w:rsidTr="003B63B1">
        <w:tc>
          <w:tcPr>
            <w:tcW w:w="4503" w:type="dxa"/>
          </w:tcPr>
          <w:p w:rsidR="00442D9F" w:rsidRPr="00304AF5" w:rsidRDefault="00442D9F" w:rsidP="003B63B1">
            <w:pPr>
              <w:rPr>
                <w:b/>
                <w:i/>
                <w:lang w:val="nl-NL"/>
              </w:rPr>
            </w:pPr>
            <w:r w:rsidRPr="00304AF5">
              <w:rPr>
                <w:b/>
                <w:i/>
                <w:lang w:val="nl-NL"/>
              </w:rPr>
              <w:t>N</w:t>
            </w:r>
            <w:r w:rsidRPr="00304AF5">
              <w:rPr>
                <w:b/>
                <w:i/>
                <w:lang w:val="vi-VN"/>
              </w:rPr>
              <w:t>ơi nhận:</w:t>
            </w:r>
          </w:p>
          <w:p w:rsidR="00442D9F" w:rsidRPr="00304AF5" w:rsidRDefault="00442D9F" w:rsidP="003B63B1">
            <w:pPr>
              <w:rPr>
                <w:sz w:val="22"/>
                <w:lang w:val="nl-NL"/>
              </w:rPr>
            </w:pPr>
            <w:r w:rsidRPr="00304AF5">
              <w:rPr>
                <w:sz w:val="22"/>
                <w:lang w:val="nl-NL"/>
              </w:rPr>
              <w:t>- TT Tỉnh ủy, TT HĐND tỉnh;</w:t>
            </w:r>
          </w:p>
          <w:p w:rsidR="00442D9F" w:rsidRPr="00304AF5" w:rsidRDefault="00442D9F" w:rsidP="003B63B1">
            <w:pPr>
              <w:rPr>
                <w:sz w:val="22"/>
                <w:lang w:val="nl-NL"/>
              </w:rPr>
            </w:pPr>
            <w:r w:rsidRPr="00304AF5">
              <w:rPr>
                <w:sz w:val="22"/>
                <w:lang w:val="nl-NL"/>
              </w:rPr>
              <w:t>- Chủ tịch, các PCT UBND tỉnh;</w:t>
            </w:r>
          </w:p>
          <w:p w:rsidR="00442D9F" w:rsidRPr="00304AF5" w:rsidRDefault="00442D9F" w:rsidP="003B63B1">
            <w:pPr>
              <w:rPr>
                <w:sz w:val="22"/>
                <w:lang w:val="nl-NL"/>
              </w:rPr>
            </w:pPr>
            <w:r w:rsidRPr="00304AF5">
              <w:rPr>
                <w:sz w:val="22"/>
                <w:lang w:val="nl-NL"/>
              </w:rPr>
              <w:t>- Đại biểu HĐND tỉnh;</w:t>
            </w:r>
          </w:p>
          <w:p w:rsidR="00442D9F" w:rsidRPr="00304AF5" w:rsidRDefault="00442D9F" w:rsidP="003B63B1">
            <w:pPr>
              <w:rPr>
                <w:sz w:val="22"/>
                <w:lang w:val="nl-NL"/>
              </w:rPr>
            </w:pPr>
            <w:r w:rsidRPr="00304AF5">
              <w:rPr>
                <w:sz w:val="22"/>
                <w:lang w:val="nl-NL"/>
              </w:rPr>
              <w:t>- Uỷ viên UBND tỉnh;</w:t>
            </w:r>
          </w:p>
          <w:p w:rsidR="00442D9F" w:rsidRPr="00D01102" w:rsidRDefault="00442D9F" w:rsidP="00B33794">
            <w:pPr>
              <w:jc w:val="both"/>
              <w:rPr>
                <w:b/>
                <w:sz w:val="16"/>
                <w:szCs w:val="16"/>
                <w:lang w:val="es-ES"/>
              </w:rPr>
            </w:pPr>
            <w:r w:rsidRPr="00304AF5">
              <w:rPr>
                <w:sz w:val="22"/>
              </w:rPr>
              <w:t>- Lưu: VT, TH</w:t>
            </w:r>
            <w:r>
              <w:rPr>
                <w:sz w:val="22"/>
              </w:rPr>
              <w:t xml:space="preserve"> (40b)</w:t>
            </w:r>
            <w:r w:rsidRPr="00304AF5">
              <w:rPr>
                <w:sz w:val="22"/>
              </w:rPr>
              <w:t>.</w:t>
            </w:r>
          </w:p>
        </w:tc>
        <w:tc>
          <w:tcPr>
            <w:tcW w:w="4549" w:type="dxa"/>
          </w:tcPr>
          <w:p w:rsidR="00442D9F" w:rsidRPr="00D01102" w:rsidRDefault="00442D9F" w:rsidP="003B63B1">
            <w:pPr>
              <w:spacing w:before="100"/>
              <w:jc w:val="center"/>
            </w:pPr>
            <w:r w:rsidRPr="00D01102">
              <w:rPr>
                <w:b/>
                <w:bCs/>
                <w:lang w:val="es-ES"/>
              </w:rPr>
              <w:t>UỶ BAN NHÂN DÂN TỈNH</w:t>
            </w:r>
          </w:p>
        </w:tc>
      </w:tr>
    </w:tbl>
    <w:p w:rsidR="00650B92" w:rsidRPr="000C740B" w:rsidRDefault="00650B92" w:rsidP="00B33794">
      <w:pPr>
        <w:spacing w:before="120" w:line="276" w:lineRule="auto"/>
        <w:ind w:firstLine="720"/>
        <w:jc w:val="both"/>
        <w:rPr>
          <w:b/>
          <w:sz w:val="14"/>
          <w:lang w:val="en-GB"/>
        </w:rPr>
      </w:pPr>
    </w:p>
    <w:sectPr w:rsidR="00650B92" w:rsidRPr="000C740B" w:rsidSect="009E3F3D">
      <w:footerReference w:type="even" r:id="rId9"/>
      <w:footerReference w:type="default" r:id="rId10"/>
      <w:pgSz w:w="11907" w:h="16840" w:code="9"/>
      <w:pgMar w:top="1134" w:right="1134" w:bottom="1134" w:left="1701" w:header="720" w:footer="6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593" w:rsidRDefault="00140593">
      <w:r>
        <w:separator/>
      </w:r>
    </w:p>
  </w:endnote>
  <w:endnote w:type="continuationSeparator" w:id="0">
    <w:p w:rsidR="00140593" w:rsidRDefault="00140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18A" w:rsidRDefault="0002118A" w:rsidP="009636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118A" w:rsidRDefault="0002118A" w:rsidP="008C614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6C4" w:rsidRDefault="001116C4">
    <w:pPr>
      <w:pStyle w:val="Footer"/>
      <w:jc w:val="center"/>
    </w:pPr>
    <w:r>
      <w:fldChar w:fldCharType="begin"/>
    </w:r>
    <w:r>
      <w:instrText xml:space="preserve"> PAGE   \* MERGEFORMAT </w:instrText>
    </w:r>
    <w:r>
      <w:fldChar w:fldCharType="separate"/>
    </w:r>
    <w:r w:rsidR="00B33794">
      <w:rPr>
        <w:noProof/>
      </w:rPr>
      <w:t>1</w:t>
    </w:r>
    <w:r>
      <w:fldChar w:fldCharType="end"/>
    </w:r>
  </w:p>
  <w:p w:rsidR="0002118A" w:rsidRDefault="0002118A" w:rsidP="008C614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593" w:rsidRDefault="00140593">
      <w:r>
        <w:separator/>
      </w:r>
    </w:p>
  </w:footnote>
  <w:footnote w:type="continuationSeparator" w:id="0">
    <w:p w:rsidR="00140593" w:rsidRDefault="00140593">
      <w:r>
        <w:continuationSeparator/>
      </w:r>
    </w:p>
  </w:footnote>
  <w:footnote w:id="1">
    <w:p w:rsidR="00C869DC" w:rsidRPr="0003371F" w:rsidRDefault="00C869DC" w:rsidP="00171304">
      <w:pPr>
        <w:pStyle w:val="FootnoteText"/>
        <w:spacing w:before="60"/>
        <w:jc w:val="both"/>
        <w:rPr>
          <w:sz w:val="22"/>
          <w:szCs w:val="22"/>
          <w:lang w:val="en-GB"/>
        </w:rPr>
      </w:pPr>
      <w:r w:rsidRPr="0003371F">
        <w:rPr>
          <w:rStyle w:val="FootnoteReference"/>
          <w:sz w:val="22"/>
          <w:szCs w:val="22"/>
        </w:rPr>
        <w:footnoteRef/>
      </w:r>
      <w:r w:rsidRPr="0003371F">
        <w:rPr>
          <w:sz w:val="22"/>
          <w:szCs w:val="22"/>
        </w:rPr>
        <w:t xml:space="preserve"> </w:t>
      </w:r>
      <w:r w:rsidRPr="0003371F">
        <w:rPr>
          <w:sz w:val="22"/>
          <w:szCs w:val="22"/>
          <w:lang w:val="it-IT"/>
        </w:rPr>
        <w:t xml:space="preserve">Tổng số là </w:t>
      </w:r>
      <w:r w:rsidR="007B0A26">
        <w:rPr>
          <w:sz w:val="22"/>
          <w:szCs w:val="22"/>
          <w:lang w:val="it-IT"/>
        </w:rPr>
        <w:t>508</w:t>
      </w:r>
      <w:r w:rsidRPr="0003371F">
        <w:rPr>
          <w:sz w:val="22"/>
          <w:szCs w:val="22"/>
          <w:lang w:val="it-IT"/>
        </w:rPr>
        <w:t xml:space="preserve"> dự án</w:t>
      </w:r>
      <w:r w:rsidRPr="0003371F">
        <w:rPr>
          <w:sz w:val="22"/>
          <w:szCs w:val="22"/>
          <w:lang w:val="nl-NL"/>
        </w:rPr>
        <w:t xml:space="preserve"> với số tiền là 6.</w:t>
      </w:r>
      <w:r w:rsidR="007B0A26">
        <w:rPr>
          <w:sz w:val="22"/>
          <w:szCs w:val="22"/>
          <w:lang w:val="nl-NL"/>
        </w:rPr>
        <w:t>232</w:t>
      </w:r>
      <w:r w:rsidRPr="0003371F">
        <w:rPr>
          <w:sz w:val="22"/>
          <w:szCs w:val="22"/>
          <w:lang w:val="nl-NL"/>
        </w:rPr>
        <w:t>,</w:t>
      </w:r>
      <w:r w:rsidR="007B0A26">
        <w:rPr>
          <w:sz w:val="22"/>
          <w:szCs w:val="22"/>
          <w:lang w:val="nl-NL"/>
        </w:rPr>
        <w:t>517</w:t>
      </w:r>
      <w:r w:rsidRPr="0003371F">
        <w:rPr>
          <w:sz w:val="22"/>
          <w:szCs w:val="22"/>
          <w:lang w:val="nl-NL"/>
        </w:rPr>
        <w:t xml:space="preserve"> tỷ đồng, trong đó dự án chuyển tiếp ngân sách Trung ương là </w:t>
      </w:r>
      <w:r w:rsidR="003C0B1C">
        <w:rPr>
          <w:sz w:val="22"/>
          <w:szCs w:val="22"/>
          <w:lang w:val="nl-NL"/>
        </w:rPr>
        <w:t>229</w:t>
      </w:r>
      <w:r w:rsidRPr="0003371F">
        <w:rPr>
          <w:sz w:val="22"/>
          <w:szCs w:val="22"/>
          <w:lang w:val="nl-NL"/>
        </w:rPr>
        <w:t xml:space="preserve"> dự án với số tiền là </w:t>
      </w:r>
      <w:r w:rsidR="00E96E46">
        <w:rPr>
          <w:sz w:val="22"/>
          <w:szCs w:val="22"/>
          <w:lang w:val="nl-NL"/>
        </w:rPr>
        <w:t xml:space="preserve">4.038,519 </w:t>
      </w:r>
      <w:r w:rsidRPr="0003371F">
        <w:rPr>
          <w:sz w:val="22"/>
          <w:szCs w:val="22"/>
          <w:lang w:val="nl-NL"/>
        </w:rPr>
        <w:t>tỷ đồng</w:t>
      </w:r>
      <w:r w:rsidR="00540268">
        <w:rPr>
          <w:sz w:val="22"/>
          <w:szCs w:val="22"/>
          <w:lang w:val="nl-NL"/>
        </w:rPr>
        <w:t xml:space="preserve"> (trong đó có 171 dự án đã hết hạn mức NSTW, còn thiếu 2.033,262 tỷ đồng)</w:t>
      </w:r>
      <w:r w:rsidR="0095703A">
        <w:rPr>
          <w:sz w:val="22"/>
          <w:szCs w:val="22"/>
          <w:lang w:val="nl-NL"/>
        </w:rPr>
        <w:t>;</w:t>
      </w:r>
      <w:r w:rsidRPr="0003371F">
        <w:rPr>
          <w:sz w:val="22"/>
          <w:szCs w:val="22"/>
          <w:lang w:val="nl-NL"/>
        </w:rPr>
        <w:t xml:space="preserve"> dự án chuyển tiếp NSĐP là </w:t>
      </w:r>
      <w:r w:rsidR="00DB4D3F">
        <w:rPr>
          <w:sz w:val="22"/>
          <w:szCs w:val="22"/>
          <w:lang w:val="nl-NL"/>
        </w:rPr>
        <w:t>279</w:t>
      </w:r>
      <w:r w:rsidRPr="0003371F">
        <w:rPr>
          <w:sz w:val="22"/>
          <w:szCs w:val="22"/>
          <w:lang w:val="nl-NL"/>
        </w:rPr>
        <w:t xml:space="preserve"> dự án với số tiền là </w:t>
      </w:r>
      <w:r w:rsidR="00DB4D3F">
        <w:rPr>
          <w:sz w:val="22"/>
          <w:szCs w:val="22"/>
          <w:lang w:val="nl-NL"/>
        </w:rPr>
        <w:t>2.193,99</w:t>
      </w:r>
      <w:r w:rsidRPr="0003371F">
        <w:rPr>
          <w:sz w:val="22"/>
          <w:szCs w:val="22"/>
          <w:lang w:val="nl-NL"/>
        </w:rPr>
        <w:t xml:space="preserve"> tỷ đồng.</w:t>
      </w:r>
    </w:p>
  </w:footnote>
  <w:footnote w:id="2">
    <w:p w:rsidR="00527951" w:rsidRPr="0003371F" w:rsidRDefault="00527951" w:rsidP="00171304">
      <w:pPr>
        <w:pStyle w:val="FootnoteText"/>
        <w:spacing w:before="60"/>
        <w:jc w:val="both"/>
        <w:rPr>
          <w:sz w:val="22"/>
          <w:szCs w:val="22"/>
          <w:lang w:val="en-GB"/>
        </w:rPr>
      </w:pPr>
      <w:r w:rsidRPr="0003371F">
        <w:rPr>
          <w:rStyle w:val="FootnoteReference"/>
          <w:sz w:val="22"/>
          <w:szCs w:val="22"/>
        </w:rPr>
        <w:footnoteRef/>
      </w:r>
      <w:r w:rsidRPr="0003371F">
        <w:rPr>
          <w:sz w:val="22"/>
          <w:szCs w:val="22"/>
        </w:rPr>
        <w:t xml:space="preserve"> </w:t>
      </w:r>
      <w:r w:rsidRPr="0003371F">
        <w:rPr>
          <w:sz w:val="22"/>
          <w:szCs w:val="22"/>
          <w:lang w:val="en-GB"/>
        </w:rPr>
        <w:t>Điển hình là trong công tác xây dựng nông thôn mới, đến hết</w:t>
      </w:r>
      <w:r w:rsidR="00B16E3E" w:rsidRPr="0003371F">
        <w:rPr>
          <w:sz w:val="22"/>
          <w:szCs w:val="22"/>
          <w:lang w:val="en-GB"/>
        </w:rPr>
        <w:t xml:space="preserve"> 36</w:t>
      </w:r>
      <w:r w:rsidRPr="0003371F">
        <w:rPr>
          <w:sz w:val="22"/>
          <w:szCs w:val="22"/>
          <w:lang w:val="en-GB"/>
        </w:rPr>
        <w:t>/</w:t>
      </w:r>
      <w:r w:rsidR="00B16E3E" w:rsidRPr="0003371F">
        <w:rPr>
          <w:sz w:val="22"/>
          <w:szCs w:val="22"/>
          <w:lang w:val="en-GB"/>
        </w:rPr>
        <w:t>06</w:t>
      </w:r>
      <w:r w:rsidRPr="0003371F">
        <w:rPr>
          <w:sz w:val="22"/>
          <w:szCs w:val="22"/>
          <w:lang w:val="en-GB"/>
        </w:rPr>
        <w:t>/201</w:t>
      </w:r>
      <w:r w:rsidR="00B16E3E" w:rsidRPr="0003371F">
        <w:rPr>
          <w:sz w:val="22"/>
          <w:szCs w:val="22"/>
          <w:lang w:val="en-GB"/>
        </w:rPr>
        <w:t>6</w:t>
      </w:r>
      <w:r w:rsidRPr="0003371F">
        <w:rPr>
          <w:sz w:val="22"/>
          <w:szCs w:val="22"/>
          <w:lang w:val="en-GB"/>
        </w:rPr>
        <w:t xml:space="preserve">, nợ XDCB </w:t>
      </w:r>
      <w:r w:rsidR="00B16E3E" w:rsidRPr="0003371F">
        <w:rPr>
          <w:sz w:val="22"/>
          <w:szCs w:val="22"/>
          <w:lang w:val="en-GB"/>
        </w:rPr>
        <w:t>trong xây dựng nông thôn mới trên địa bàn toàn tỉnh là 651,015 tỷ đồng, trong đó ngân sách cấp xã nợ 468,933 tỷ đồng.</w:t>
      </w:r>
    </w:p>
  </w:footnote>
  <w:footnote w:id="3">
    <w:p w:rsidR="009936F1" w:rsidRPr="0003371F" w:rsidRDefault="009936F1" w:rsidP="00171304">
      <w:pPr>
        <w:pStyle w:val="FootnoteText"/>
        <w:spacing w:before="60"/>
        <w:jc w:val="both"/>
        <w:rPr>
          <w:sz w:val="22"/>
          <w:szCs w:val="22"/>
          <w:lang w:val="en-GB"/>
        </w:rPr>
      </w:pPr>
      <w:r w:rsidRPr="0003371F">
        <w:rPr>
          <w:rStyle w:val="FootnoteReference"/>
          <w:sz w:val="22"/>
          <w:szCs w:val="22"/>
        </w:rPr>
        <w:footnoteRef/>
      </w:r>
      <w:r w:rsidRPr="0003371F">
        <w:rPr>
          <w:sz w:val="22"/>
          <w:szCs w:val="22"/>
        </w:rPr>
        <w:t xml:space="preserve"> </w:t>
      </w:r>
      <w:r w:rsidR="00B731B8" w:rsidRPr="0003371F">
        <w:rPr>
          <w:color w:val="000000"/>
          <w:sz w:val="22"/>
          <w:szCs w:val="22"/>
          <w:lang w:val="nl-NL"/>
        </w:rPr>
        <w:t>Nhất là đối với các công trình, dự án lớn, trọng tâm của tỉnh; đặc biệt là các dự án trong Khu kinh tế Vũng Áng (</w:t>
      </w:r>
      <w:r w:rsidR="00B731B8" w:rsidRPr="0003371F">
        <w:rPr>
          <w:sz w:val="22"/>
          <w:szCs w:val="22"/>
          <w:lang w:val="nl-NL"/>
        </w:rPr>
        <w:t>d</w:t>
      </w:r>
      <w:r w:rsidR="00B731B8" w:rsidRPr="0003371F">
        <w:rPr>
          <w:color w:val="000000"/>
          <w:sz w:val="22"/>
          <w:szCs w:val="22"/>
          <w:lang w:val="nl-NL"/>
        </w:rPr>
        <w:t xml:space="preserve">i dời thôn Đông Yên, thôn Tân Phúc Thành 2 và 3; dự án Cấp nước Khu kinh tế Vũng Áng; dự án </w:t>
      </w:r>
      <w:r w:rsidR="00B731B8" w:rsidRPr="0003371F">
        <w:rPr>
          <w:sz w:val="22"/>
          <w:szCs w:val="22"/>
          <w:lang w:val="de-DE"/>
        </w:rPr>
        <w:t>Hệ thống kênh tách nước, phân lũ, phòng chống ngập úng cho các xã vùng phía Nam</w:t>
      </w:r>
      <w:r w:rsidR="002B0587" w:rsidRPr="0003371F">
        <w:rPr>
          <w:sz w:val="22"/>
          <w:szCs w:val="22"/>
          <w:lang w:val="de-DE"/>
        </w:rPr>
        <w:t>;</w:t>
      </w:r>
      <w:r w:rsidR="00B731B8" w:rsidRPr="0003371F">
        <w:rPr>
          <w:sz w:val="22"/>
          <w:szCs w:val="22"/>
          <w:lang w:val="de-DE"/>
        </w:rPr>
        <w:t xml:space="preserve"> </w:t>
      </w:r>
      <w:r w:rsidR="00B731B8" w:rsidRPr="0003371F">
        <w:rPr>
          <w:color w:val="000000"/>
          <w:sz w:val="22"/>
          <w:szCs w:val="22"/>
          <w:lang w:val="nl-NL"/>
        </w:rPr>
        <w:t xml:space="preserve">đường trục ngang khu đô thị trung tâm - khu đô thị du lịch Kỳ Ninh; Trung tâm thương mại, khách sạn, văn phòng, </w:t>
      </w:r>
      <w:r w:rsidR="00B731B8" w:rsidRPr="0003371F">
        <w:rPr>
          <w:sz w:val="22"/>
          <w:szCs w:val="22"/>
          <w:lang w:val="nl-NL"/>
        </w:rPr>
        <w:t>chung cư Lobana; Nhà xưởng, văn phòng cho thuê, nhà ở công nhân, nhà ăn dịch vụ của Công ty Saphire KTY; Trung tâm thương mại Growbest</w:t>
      </w:r>
      <w:r w:rsidR="00C35EA2" w:rsidRPr="0003371F">
        <w:rPr>
          <w:sz w:val="22"/>
          <w:szCs w:val="22"/>
          <w:lang w:val="nl-NL"/>
        </w:rPr>
        <w:t>...)</w:t>
      </w:r>
      <w:r w:rsidR="00B731B8" w:rsidRPr="0003371F">
        <w:rPr>
          <w:sz w:val="22"/>
          <w:szCs w:val="22"/>
          <w:lang w:val="nl-NL"/>
        </w:rPr>
        <w:t>; đường nối Quốc lộ 1A - mỏ sắt Thạch Khê</w:t>
      </w:r>
      <w:r w:rsidR="00C35EA2" w:rsidRPr="0003371F">
        <w:rPr>
          <w:sz w:val="22"/>
          <w:szCs w:val="22"/>
          <w:lang w:val="nl-NL"/>
        </w:rPr>
        <w:t xml:space="preserve">, </w:t>
      </w:r>
      <w:r w:rsidR="00B731B8" w:rsidRPr="0003371F">
        <w:rPr>
          <w:sz w:val="22"/>
          <w:szCs w:val="22"/>
          <w:lang w:val="nl-NL"/>
        </w:rPr>
        <w:t>giai đoạn 2; đường ven biển Cẩm Lĩnh - Kỳ Xuân</w:t>
      </w:r>
      <w:r w:rsidR="00C35EA2" w:rsidRPr="0003371F">
        <w:rPr>
          <w:sz w:val="22"/>
          <w:szCs w:val="22"/>
          <w:lang w:val="nl-NL"/>
        </w:rPr>
        <w:t>;</w:t>
      </w:r>
      <w:r w:rsidR="00B731B8" w:rsidRPr="0003371F">
        <w:rPr>
          <w:sz w:val="22"/>
          <w:szCs w:val="22"/>
          <w:lang w:val="nl-NL"/>
        </w:rPr>
        <w:t xml:space="preserve"> đường Tỉnh lộ 2</w:t>
      </w:r>
      <w:r w:rsidR="00C35EA2" w:rsidRPr="0003371F">
        <w:rPr>
          <w:sz w:val="22"/>
          <w:szCs w:val="22"/>
          <w:lang w:val="nl-NL"/>
        </w:rPr>
        <w:t>1</w:t>
      </w:r>
      <w:r w:rsidR="00B731B8" w:rsidRPr="0003371F">
        <w:rPr>
          <w:color w:val="000000"/>
          <w:sz w:val="22"/>
          <w:szCs w:val="22"/>
          <w:lang w:val="nl-NL"/>
        </w:rPr>
        <w:t xml:space="preserve">; </w:t>
      </w:r>
      <w:r w:rsidR="00B731B8" w:rsidRPr="0003371F">
        <w:rPr>
          <w:spacing w:val="-6"/>
          <w:sz w:val="22"/>
          <w:szCs w:val="22"/>
        </w:rPr>
        <w:t>cống Đò Điệm và Hệ thống kênh trục sông Nghèn,…</w:t>
      </w:r>
    </w:p>
  </w:footnote>
  <w:footnote w:id="4">
    <w:p w:rsidR="00F201CF" w:rsidRPr="0003371F" w:rsidRDefault="00F201CF" w:rsidP="00171304">
      <w:pPr>
        <w:pStyle w:val="FootnoteText"/>
        <w:spacing w:before="60"/>
        <w:jc w:val="both"/>
        <w:rPr>
          <w:sz w:val="22"/>
          <w:szCs w:val="22"/>
          <w:lang w:val="en-GB"/>
        </w:rPr>
      </w:pPr>
      <w:r w:rsidRPr="0003371F">
        <w:rPr>
          <w:rStyle w:val="FootnoteReference"/>
          <w:sz w:val="22"/>
          <w:szCs w:val="22"/>
        </w:rPr>
        <w:footnoteRef/>
      </w:r>
      <w:r w:rsidRPr="0003371F">
        <w:rPr>
          <w:sz w:val="22"/>
          <w:szCs w:val="22"/>
        </w:rPr>
        <w:t xml:space="preserve"> </w:t>
      </w:r>
      <w:r w:rsidRPr="0003371F">
        <w:rPr>
          <w:sz w:val="22"/>
          <w:szCs w:val="22"/>
          <w:lang w:val="nl-NL"/>
        </w:rPr>
        <w:t xml:space="preserve">Đến </w:t>
      </w:r>
      <w:r w:rsidR="006D48EB" w:rsidRPr="0003371F">
        <w:rPr>
          <w:sz w:val="22"/>
          <w:szCs w:val="22"/>
          <w:lang w:val="nl-NL"/>
        </w:rPr>
        <w:t>hết tháng 3/</w:t>
      </w:r>
      <w:r w:rsidRPr="0003371F">
        <w:rPr>
          <w:sz w:val="22"/>
          <w:szCs w:val="22"/>
          <w:lang w:val="nl-NL"/>
        </w:rPr>
        <w:t>2015 các đơn vị có số dự án chậm nộp quyết toán lớn như: Thạch Hà (159 dự án), Đức Thọ (104 dự án), Hương Khê (102 dự án).</w:t>
      </w:r>
    </w:p>
  </w:footnote>
  <w:footnote w:id="5">
    <w:p w:rsidR="0012690C" w:rsidRPr="008726EF" w:rsidRDefault="0012690C" w:rsidP="00171304">
      <w:pPr>
        <w:pStyle w:val="FootnoteText"/>
        <w:spacing w:before="60"/>
        <w:jc w:val="both"/>
        <w:rPr>
          <w:lang w:val="en-GB"/>
        </w:rPr>
      </w:pPr>
      <w:r w:rsidRPr="008726EF">
        <w:rPr>
          <w:rStyle w:val="FootnoteReference"/>
        </w:rPr>
        <w:footnoteRef/>
      </w:r>
      <w:r w:rsidRPr="008726EF">
        <w:t xml:space="preserve"> </w:t>
      </w:r>
      <w:r w:rsidR="004E36CF" w:rsidRPr="008726EF">
        <w:t xml:space="preserve">Số được giao tại Quyết định số </w:t>
      </w:r>
      <w:r w:rsidR="00AD2880" w:rsidRPr="008726EF">
        <w:rPr>
          <w:lang w:val="nl-NL"/>
        </w:rPr>
        <w:t>572/QĐ-BKHĐT ngày 20/4/2017 của Bộ Kế hoạch và Đầu tư</w:t>
      </w:r>
      <w:r w:rsidRPr="008726EF">
        <w:t xml:space="preserve"> là 3.375 tỷ đồng</w:t>
      </w:r>
      <w:r w:rsidR="00952D72" w:rsidRPr="008726EF">
        <w:t xml:space="preserve"> (đã trừ dự phòng 375 tỷ đồng</w:t>
      </w:r>
      <w:r w:rsidR="00B445C1" w:rsidRPr="008726EF">
        <w:t xml:space="preserve"> -</w:t>
      </w:r>
      <w:r w:rsidR="009221BA" w:rsidRPr="008726EF">
        <w:t xml:space="preserve"> tương đương mỗi năm 750 tỷ đồng</w:t>
      </w:r>
      <w:r w:rsidR="00AD2880" w:rsidRPr="008726EF">
        <w:t>)</w:t>
      </w:r>
      <w:r w:rsidRPr="008726EF">
        <w:t xml:space="preserve">; </w:t>
      </w:r>
      <w:r w:rsidR="00B445C1" w:rsidRPr="008726EF">
        <w:rPr>
          <w:lang w:val="en-GB"/>
        </w:rPr>
        <w:t>Số dự kiến của địa phương là 4.</w:t>
      </w:r>
      <w:r w:rsidR="00AD2880" w:rsidRPr="008726EF">
        <w:rPr>
          <w:lang w:val="en-GB"/>
        </w:rPr>
        <w:t>750</w:t>
      </w:r>
      <w:r w:rsidR="00B445C1" w:rsidRPr="008726EF">
        <w:rPr>
          <w:lang w:val="en-GB"/>
        </w:rPr>
        <w:t xml:space="preserve"> tỷ đồng </w:t>
      </w:r>
      <w:r w:rsidR="00B445C1" w:rsidRPr="008726EF">
        <w:t>(đã trừ dự phòng 375 tỷ đồng) - tăng 1.</w:t>
      </w:r>
      <w:r w:rsidR="00EE7C43" w:rsidRPr="008726EF">
        <w:t>375</w:t>
      </w:r>
      <w:r w:rsidR="00B445C1" w:rsidRPr="008726EF">
        <w:t xml:space="preserve"> tỷ đồng so với số thông báo của Bộ Kế hoạch và Đầu tư do giai đoạn 2017-2020 dự kiến thực hiện mỗi năm 1.000 tỷ</w:t>
      </w:r>
      <w:r w:rsidR="00EE7C43" w:rsidRPr="008726EF">
        <w:t xml:space="preserve"> đồng</w:t>
      </w:r>
      <w:r w:rsidR="00214587" w:rsidRPr="008726EF">
        <w:t>.</w:t>
      </w:r>
    </w:p>
  </w:footnote>
  <w:footnote w:id="6">
    <w:p w:rsidR="00321289" w:rsidRPr="008726EF" w:rsidRDefault="00321289" w:rsidP="00171304">
      <w:pPr>
        <w:pStyle w:val="FootnoteText"/>
        <w:spacing w:before="60"/>
        <w:jc w:val="both"/>
      </w:pPr>
      <w:r w:rsidRPr="008726EF">
        <w:rPr>
          <w:rStyle w:val="FootnoteReference"/>
        </w:rPr>
        <w:footnoteRef/>
      </w:r>
      <w:r w:rsidRPr="008726EF">
        <w:t xml:space="preserve"> Đã được giao tại </w:t>
      </w:r>
      <w:r w:rsidR="002B215C" w:rsidRPr="008726EF">
        <w:rPr>
          <w:lang w:val="nl-NL"/>
        </w:rPr>
        <w:t>Quyết định số 1939/QĐ-BKHĐT ngày 30/12/2016 của Bộ Kế hoạch</w:t>
      </w:r>
      <w:r w:rsidR="00B04672" w:rsidRPr="008726EF">
        <w:rPr>
          <w:lang w:val="nl-NL"/>
        </w:rPr>
        <w:t xml:space="preserve"> và Đầu tư (hiện TW chưa cấp nguồn để giải ngân nhưng đã triển khai thực hiện một số dự án)</w:t>
      </w:r>
      <w:r w:rsidR="00713FE1" w:rsidRPr="008726EF">
        <w:rPr>
          <w:lang w:val="nl-NL"/>
        </w:rPr>
        <w:t>.</w:t>
      </w:r>
    </w:p>
  </w:footnote>
  <w:footnote w:id="7">
    <w:p w:rsidR="00BF2515" w:rsidRPr="008726EF" w:rsidRDefault="00BF2515" w:rsidP="00171304">
      <w:pPr>
        <w:pStyle w:val="FootnoteText"/>
        <w:spacing w:before="60"/>
        <w:jc w:val="both"/>
      </w:pPr>
      <w:r w:rsidRPr="008726EF">
        <w:rPr>
          <w:rStyle w:val="FootnoteReference"/>
        </w:rPr>
        <w:footnoteRef/>
      </w:r>
      <w:r w:rsidRPr="008726EF">
        <w:t xml:space="preserve"> Tại các Văn bản số: 8836/BKHĐT-TH ngày </w:t>
      </w:r>
      <w:r w:rsidR="005C5B62" w:rsidRPr="008726EF">
        <w:t>28/10/2016;</w:t>
      </w:r>
      <w:r w:rsidR="0015563E" w:rsidRPr="008726EF">
        <w:t xml:space="preserve"> số 9736/BKHĐT-TH ngày 21/11/2016;</w:t>
      </w:r>
      <w:r w:rsidR="008B219D" w:rsidRPr="008726EF">
        <w:t xml:space="preserve"> </w:t>
      </w:r>
      <w:r w:rsidR="005C5B62" w:rsidRPr="008726EF">
        <w:t>số 10142/BKHĐT-KTĐPLT ngày 27/12/2016</w:t>
      </w:r>
      <w:r w:rsidR="009C1F2B" w:rsidRPr="008726EF">
        <w:t xml:space="preserve">; số 1186/BKHĐT-TH ngày 17/02/2017; số 1338/BKHĐT-TH ngày 22/02/2017 và Văn bản số </w:t>
      </w:r>
      <w:r w:rsidR="007A65AD" w:rsidRPr="008726EF">
        <w:t>2247/CĐ-BKHĐT ngày 24/3/2017.</w:t>
      </w:r>
    </w:p>
  </w:footnote>
  <w:footnote w:id="8">
    <w:p w:rsidR="00150E00" w:rsidRPr="008726EF" w:rsidRDefault="00150E00" w:rsidP="00171304">
      <w:pPr>
        <w:pStyle w:val="FootnoteText"/>
        <w:spacing w:before="60"/>
        <w:jc w:val="both"/>
      </w:pPr>
      <w:r w:rsidRPr="008726EF">
        <w:rPr>
          <w:rStyle w:val="FootnoteReference"/>
        </w:rPr>
        <w:footnoteRef/>
      </w:r>
      <w:r w:rsidRPr="008726EF">
        <w:t xml:space="preserve"> Ủy ban nhân dân tỉnh đã có các Quyết định số </w:t>
      </w:r>
      <w:r w:rsidR="007D53D3" w:rsidRPr="008726EF">
        <w:t xml:space="preserve">1314/QĐ-UBND ngày 17/5/2017 và Quyết định số 2731/QĐ-UBND ngày </w:t>
      </w:r>
      <w:r w:rsidR="001119D8" w:rsidRPr="008726EF">
        <w:t>25/9/2017</w:t>
      </w:r>
      <w:r w:rsidR="004B1809" w:rsidRPr="008726EF">
        <w:t xml:space="preserve"> thông báo cho các đơn vị, địa phương để triển khai thực hiện.</w:t>
      </w:r>
    </w:p>
  </w:footnote>
  <w:footnote w:id="9">
    <w:p w:rsidR="00C81B00" w:rsidRPr="008726EF" w:rsidRDefault="00C81B00" w:rsidP="00171304">
      <w:pPr>
        <w:pStyle w:val="FootnoteText"/>
        <w:spacing w:before="60"/>
        <w:jc w:val="both"/>
      </w:pPr>
      <w:r w:rsidRPr="008726EF">
        <w:rPr>
          <w:rStyle w:val="FootnoteReference"/>
        </w:rPr>
        <w:footnoteRef/>
      </w:r>
      <w:r w:rsidRPr="008726EF">
        <w:t xml:space="preserve"> </w:t>
      </w:r>
      <w:r w:rsidRPr="008726EF">
        <w:rPr>
          <w:lang w:val="nl-NL"/>
        </w:rPr>
        <w:t xml:space="preserve">Năm 2016 là </w:t>
      </w:r>
      <w:r w:rsidR="007F43C7" w:rsidRPr="008726EF">
        <w:rPr>
          <w:lang w:val="nl-NL"/>
        </w:rPr>
        <w:t>750</w:t>
      </w:r>
      <w:r w:rsidRPr="008726EF">
        <w:rPr>
          <w:lang w:val="nl-NL"/>
        </w:rPr>
        <w:t xml:space="preserve"> tỷ đồng và Năm 2017 là </w:t>
      </w:r>
      <w:r w:rsidR="007F43C7" w:rsidRPr="008726EF">
        <w:rPr>
          <w:lang w:val="nl-NL"/>
        </w:rPr>
        <w:t>1.000</w:t>
      </w:r>
      <w:r w:rsidRPr="008726EF">
        <w:rPr>
          <w:lang w:val="nl-NL"/>
        </w:rPr>
        <w:t xml:space="preserve"> tỷ đồng.</w:t>
      </w:r>
    </w:p>
  </w:footnote>
  <w:footnote w:id="10">
    <w:p w:rsidR="00DC2D5C" w:rsidRPr="008726EF" w:rsidRDefault="00DC2D5C" w:rsidP="00DC2D5C">
      <w:pPr>
        <w:pStyle w:val="FootnoteText"/>
        <w:spacing w:before="60"/>
        <w:jc w:val="both"/>
      </w:pPr>
      <w:r w:rsidRPr="008726EF">
        <w:rPr>
          <w:rStyle w:val="FootnoteReference"/>
        </w:rPr>
        <w:footnoteRef/>
      </w:r>
      <w:r w:rsidRPr="008726EF">
        <w:t xml:space="preserve"> Cộng với phần vốn được dự kiến bố trí từ nguồn NSTT phân bổ cho ngành y tế (</w:t>
      </w:r>
      <w:r w:rsidR="006F7132" w:rsidRPr="008726EF">
        <w:t>49</w:t>
      </w:r>
      <w:r w:rsidRPr="008726EF">
        <w:t>,60</w:t>
      </w:r>
      <w:r w:rsidR="006F7132" w:rsidRPr="008726EF">
        <w:t>1</w:t>
      </w:r>
      <w:r w:rsidRPr="008726EF">
        <w:t xml:space="preserve"> tỷ đồng) và ngành KHCN chuyển sang (20 tỷ đồng); Tổng nguồn vốn dự kiến bố trí đầu tư dự án Trung tâm Y tế huyện Kỳ Anh, giai đoạn 2016-2020 là 1</w:t>
      </w:r>
      <w:r w:rsidR="008D3759" w:rsidRPr="008726EF">
        <w:t>34</w:t>
      </w:r>
      <w:r w:rsidRPr="008726EF">
        <w:t>,60</w:t>
      </w:r>
      <w:r w:rsidR="008D3759" w:rsidRPr="008726EF">
        <w:t>1</w:t>
      </w:r>
      <w:r w:rsidRPr="008726EF">
        <w:t xml:space="preserve"> tỷ đồng (cơ bản đảm bảo phân kỳ đầu tư giai đoạn 1 với quy mô từ 50-70 giường bệnh).</w:t>
      </w:r>
    </w:p>
  </w:footnote>
  <w:footnote w:id="11">
    <w:p w:rsidR="00CE6C36" w:rsidRPr="006C0DA4" w:rsidRDefault="00CE6C36" w:rsidP="00171304">
      <w:pPr>
        <w:pStyle w:val="FootnoteText"/>
        <w:spacing w:before="60"/>
        <w:jc w:val="both"/>
      </w:pPr>
      <w:r w:rsidRPr="006C0DA4">
        <w:rPr>
          <w:rStyle w:val="FootnoteReference"/>
        </w:rPr>
        <w:footnoteRef/>
      </w:r>
      <w:r w:rsidRPr="006C0DA4">
        <w:t xml:space="preserve"> </w:t>
      </w:r>
      <w:r w:rsidRPr="006C0DA4">
        <w:rPr>
          <w:lang w:val="nl-NL"/>
        </w:rPr>
        <w:t>Năm 2016 là 541,59 tỷ đồng và Năm 2017 là 567,54 tỷ đồng.</w:t>
      </w:r>
    </w:p>
  </w:footnote>
  <w:footnote w:id="12">
    <w:p w:rsidR="00501958" w:rsidRPr="006C0DA4" w:rsidRDefault="00501958" w:rsidP="00171304">
      <w:pPr>
        <w:pStyle w:val="FootnoteText"/>
        <w:spacing w:before="60"/>
        <w:jc w:val="both"/>
      </w:pPr>
      <w:r w:rsidRPr="006C0DA4">
        <w:rPr>
          <w:rStyle w:val="FootnoteReference"/>
        </w:rPr>
        <w:footnoteRef/>
      </w:r>
      <w:r w:rsidRPr="006C0DA4">
        <w:t xml:space="preserve"> Đề nghị trích 35% số vốn trung hạn còn lại </w:t>
      </w:r>
      <w:r w:rsidR="005C46B9" w:rsidRPr="006C0DA4">
        <w:t>(</w:t>
      </w:r>
      <w:r w:rsidR="00B15DDE" w:rsidRPr="006C0DA4">
        <w:t xml:space="preserve">tương đương </w:t>
      </w:r>
      <w:r w:rsidR="005C46B9" w:rsidRPr="006C0DA4">
        <w:t>612,09 tỷ đồng) để bố trí cho các nhiệm vụ chi chung của tỉnh tron</w:t>
      </w:r>
      <w:r w:rsidR="00C13FBC" w:rsidRPr="006C0DA4">
        <w:t>g giai đoạn 2018-2020, bao gồm: dự phòng, trả nợ vay, đối ứng ODA và bố trí các công trình quan trọng, cấp bách của địa phương</w:t>
      </w:r>
      <w:r w:rsidR="00997AF8" w:rsidRPr="006C0DA4">
        <w:t>.</w:t>
      </w:r>
    </w:p>
  </w:footnote>
  <w:footnote w:id="13">
    <w:p w:rsidR="00B003E8" w:rsidRPr="006C0DA4" w:rsidRDefault="00B003E8" w:rsidP="00171304">
      <w:pPr>
        <w:pStyle w:val="FootnoteText"/>
        <w:spacing w:before="60"/>
        <w:jc w:val="both"/>
        <w:rPr>
          <w:lang w:val="en-GB"/>
        </w:rPr>
      </w:pPr>
      <w:r w:rsidRPr="006C0DA4">
        <w:rPr>
          <w:rStyle w:val="FootnoteReference"/>
        </w:rPr>
        <w:footnoteRef/>
      </w:r>
      <w:r w:rsidRPr="006C0DA4">
        <w:t xml:space="preserve"> </w:t>
      </w:r>
      <w:r w:rsidR="008D20F2" w:rsidRPr="006C0DA4">
        <w:rPr>
          <w:lang w:val="en-GB"/>
        </w:rPr>
        <w:t>N</w:t>
      </w:r>
      <w:r w:rsidRPr="006C0DA4">
        <w:rPr>
          <w:lang w:val="en-GB"/>
        </w:rPr>
        <w:t xml:space="preserve">goài các khoản dự phòng Trung ương chưa phân bổ </w:t>
      </w:r>
      <w:proofErr w:type="gramStart"/>
      <w:r w:rsidRPr="006C0DA4">
        <w:rPr>
          <w:lang w:val="en-GB"/>
        </w:rPr>
        <w:t>t</w:t>
      </w:r>
      <w:r w:rsidR="001C746F" w:rsidRPr="006C0DA4">
        <w:rPr>
          <w:lang w:val="en-GB"/>
        </w:rPr>
        <w:t>heo</w:t>
      </w:r>
      <w:proofErr w:type="gramEnd"/>
      <w:r w:rsidR="001C746F" w:rsidRPr="006C0DA4">
        <w:rPr>
          <w:lang w:val="en-GB"/>
        </w:rPr>
        <w:t xml:space="preserve"> quy định,</w:t>
      </w:r>
      <w:r w:rsidR="00186663" w:rsidRPr="006C0DA4">
        <w:rPr>
          <w:lang w:val="en-GB"/>
        </w:rPr>
        <w:t xml:space="preserve"> đề xuất đưa thêm nội dung này </w:t>
      </w:r>
      <w:r w:rsidR="001C746F" w:rsidRPr="006C0DA4">
        <w:rPr>
          <w:lang w:val="en-GB"/>
        </w:rPr>
        <w:t>để chủ động xử lý các vấn đề phát sinh trong điều hành kế hoạch hằng năm</w:t>
      </w:r>
      <w:r w:rsidR="00186663" w:rsidRPr="006C0DA4">
        <w:rPr>
          <w:lang w:val="en-GB"/>
        </w:rPr>
        <w:t>.</w:t>
      </w:r>
    </w:p>
  </w:footnote>
  <w:footnote w:id="14">
    <w:p w:rsidR="001D1E1E" w:rsidRPr="006C0DA4" w:rsidRDefault="001D1E1E" w:rsidP="00171304">
      <w:pPr>
        <w:pStyle w:val="FootnoteText"/>
        <w:spacing w:before="60"/>
        <w:jc w:val="both"/>
      </w:pPr>
      <w:r w:rsidRPr="006C0DA4">
        <w:rPr>
          <w:rStyle w:val="FootnoteReference"/>
        </w:rPr>
        <w:footnoteRef/>
      </w:r>
      <w:r w:rsidRPr="006C0DA4">
        <w:t xml:space="preserve"> </w:t>
      </w:r>
      <w:r w:rsidR="008A32A5" w:rsidRPr="006C0DA4">
        <w:t xml:space="preserve">Tổng nguồn vốn vay tín dụng đầu tư </w:t>
      </w:r>
      <w:r w:rsidR="00FC67F5" w:rsidRPr="006C0DA4">
        <w:t>phát triển</w:t>
      </w:r>
      <w:r w:rsidR="008A32A5" w:rsidRPr="006C0DA4">
        <w:t xml:space="preserve"> năm 2016 phải trả trong giai đoạn 2016-2020 là 261,534 tỷ đồng; dự kiến thanh toán từ nguồn bội thu</w:t>
      </w:r>
      <w:r w:rsidR="002441AC" w:rsidRPr="006C0DA4">
        <w:t xml:space="preserve"> ngân sách địa phương là </w:t>
      </w:r>
      <w:r w:rsidR="00046AAB" w:rsidRPr="006C0DA4">
        <w:t>119,251 tỷ đồng; s</w:t>
      </w:r>
      <w:r w:rsidR="00276CD6" w:rsidRPr="006C0DA4">
        <w:t>ố còn thiếu là 142,283 tỷ đồng.</w:t>
      </w:r>
    </w:p>
  </w:footnote>
  <w:footnote w:id="15">
    <w:p w:rsidR="001B16D8" w:rsidRPr="005E390B" w:rsidRDefault="001B16D8" w:rsidP="00171304">
      <w:pPr>
        <w:pStyle w:val="FootnoteText"/>
        <w:spacing w:before="60"/>
        <w:jc w:val="both"/>
      </w:pPr>
      <w:r w:rsidRPr="005E390B">
        <w:rPr>
          <w:rStyle w:val="FootnoteReference"/>
        </w:rPr>
        <w:footnoteRef/>
      </w:r>
      <w:r w:rsidRPr="005E390B">
        <w:t xml:space="preserve"> </w:t>
      </w:r>
      <w:r w:rsidR="002A3585" w:rsidRPr="005E390B">
        <w:t xml:space="preserve">Năm 2016, tỉnh được Trung ương cho huy động triển khai đầu tư các dự án </w:t>
      </w:r>
      <w:r w:rsidR="00710719" w:rsidRPr="005E390B">
        <w:t>sử dụng nguồn vốn tín dụng đầu tư phát triển</w:t>
      </w:r>
      <w:r w:rsidR="002A3585" w:rsidRPr="005E390B">
        <w:t xml:space="preserve"> với tổng số tiền 261,534 tỷ đồng; Tuy nhiên, so với hạn mức vốn được giao, </w:t>
      </w:r>
      <w:r w:rsidR="007168A5" w:rsidRPr="005E390B">
        <w:t>số vốn</w:t>
      </w:r>
      <w:r w:rsidR="004370E2" w:rsidRPr="005E390B">
        <w:t xml:space="preserve"> còn thiếu s</w:t>
      </w:r>
      <w:r w:rsidR="005B46C7" w:rsidRPr="005E390B">
        <w:t>o</w:t>
      </w:r>
      <w:r w:rsidR="004370E2" w:rsidRPr="005E390B">
        <w:t xml:space="preserve"> với tổng mức đầu tư</w:t>
      </w:r>
      <w:r w:rsidR="00E05772" w:rsidRPr="005E390B">
        <w:t xml:space="preserve"> được duyệt</w:t>
      </w:r>
      <w:r w:rsidR="004370E2" w:rsidRPr="005E390B">
        <w:t xml:space="preserve"> </w:t>
      </w:r>
      <w:r w:rsidR="005B46C7" w:rsidRPr="005E390B">
        <w:t>là 172,</w:t>
      </w:r>
      <w:r w:rsidR="007B5D43" w:rsidRPr="005E390B">
        <w:t xml:space="preserve">883 tỷ đồng. Để góp </w:t>
      </w:r>
      <w:r w:rsidR="005B2C88" w:rsidRPr="005E390B">
        <w:t xml:space="preserve">phần </w:t>
      </w:r>
      <w:r w:rsidR="007B5D43" w:rsidRPr="005E390B">
        <w:t xml:space="preserve">hoàn thành dự án, đảm bảo phát huy hiệu quả đầu tư; </w:t>
      </w:r>
      <w:r w:rsidR="00980ACE" w:rsidRPr="005E390B">
        <w:t>Đ</w:t>
      </w:r>
      <w:r w:rsidR="007B5D43" w:rsidRPr="005E390B">
        <w:t>ề nghị hỗ trợ một phần để triển khai, hoàn thành dự án</w:t>
      </w:r>
      <w:r w:rsidR="00A7786B" w:rsidRPr="005E390B">
        <w:t>; số vốn còn thiếu sẽ huy động, bố trí từ NS huyện, xã và các nguồn hợp pháp khác.</w:t>
      </w:r>
    </w:p>
  </w:footnote>
  <w:footnote w:id="16">
    <w:p w:rsidR="003F103F" w:rsidRPr="005E390B" w:rsidRDefault="003F103F" w:rsidP="00171304">
      <w:pPr>
        <w:pStyle w:val="FootnoteText"/>
        <w:spacing w:before="60"/>
        <w:jc w:val="both"/>
        <w:rPr>
          <w:lang w:val="en-GB"/>
        </w:rPr>
      </w:pPr>
      <w:r w:rsidRPr="005E390B">
        <w:rPr>
          <w:rStyle w:val="FootnoteReference"/>
        </w:rPr>
        <w:footnoteRef/>
      </w:r>
      <w:r w:rsidRPr="005E390B">
        <w:t xml:space="preserve"> </w:t>
      </w:r>
      <w:r w:rsidR="004353D2" w:rsidRPr="005E390B">
        <w:rPr>
          <w:lang w:val="en-GB"/>
        </w:rPr>
        <w:t xml:space="preserve">Theo quy định tại điều 55, Luật Đầu tư công: Các dự án được bố trí vốn kế hoạch đầu tư công trung hạn phải được cấp có thẩm quyền quyết định chủ trương đầu </w:t>
      </w:r>
      <w:proofErr w:type="gramStart"/>
      <w:r w:rsidR="004353D2" w:rsidRPr="005E390B">
        <w:rPr>
          <w:lang w:val="en-GB"/>
        </w:rPr>
        <w:t>tư</w:t>
      </w:r>
      <w:proofErr w:type="gramEnd"/>
      <w:r w:rsidRPr="005E390B">
        <w:rPr>
          <w:lang w:val="en-GB"/>
        </w:rPr>
        <w:t>.</w:t>
      </w:r>
    </w:p>
  </w:footnote>
  <w:footnote w:id="17">
    <w:p w:rsidR="00425AE9" w:rsidRPr="005E390B" w:rsidRDefault="00425AE9" w:rsidP="00171304">
      <w:pPr>
        <w:pStyle w:val="FootnoteText"/>
        <w:spacing w:before="60"/>
        <w:jc w:val="both"/>
      </w:pPr>
      <w:r w:rsidRPr="005E390B">
        <w:rPr>
          <w:rStyle w:val="FootnoteReference"/>
        </w:rPr>
        <w:footnoteRef/>
      </w:r>
      <w:r w:rsidRPr="005E390B">
        <w:t xml:space="preserve"> Cộng với phần vốn được dự kiến bố trí từ nguồn NSTT phân bổ cho ngành y tế (</w:t>
      </w:r>
      <w:r w:rsidR="00981BCB" w:rsidRPr="005E390B">
        <w:t>49</w:t>
      </w:r>
      <w:r w:rsidRPr="005E390B">
        <w:t>,60</w:t>
      </w:r>
      <w:r w:rsidR="00981BCB" w:rsidRPr="005E390B">
        <w:t>1</w:t>
      </w:r>
      <w:r w:rsidRPr="005E390B">
        <w:t xml:space="preserve"> tỷ đồng) và </w:t>
      </w:r>
      <w:r w:rsidR="00184206" w:rsidRPr="005E390B">
        <w:t>nguồn thu tiền sử dụng đất (</w:t>
      </w:r>
      <w:r w:rsidR="003D7BCF" w:rsidRPr="005E390B">
        <w:t>65</w:t>
      </w:r>
      <w:r w:rsidR="00184206" w:rsidRPr="005E390B">
        <w:t xml:space="preserve"> tỷ đồng)</w:t>
      </w:r>
      <w:r w:rsidRPr="005E390B">
        <w:t>; Tổng nguồn vốn dự kiến bố trí đầu tư dự án Trung tâm Y tế huyện Kỳ Anh, giai đoạn 2016-2020 là 1</w:t>
      </w:r>
      <w:r w:rsidR="00967DED" w:rsidRPr="005E390B">
        <w:t>34</w:t>
      </w:r>
      <w:r w:rsidRPr="005E390B">
        <w:t>,60</w:t>
      </w:r>
      <w:r w:rsidR="00967DED" w:rsidRPr="005E390B">
        <w:t>1</w:t>
      </w:r>
      <w:r w:rsidRPr="005E390B">
        <w:t xml:space="preserve"> tỷ đồng (cơ bản đảm bảo phân kỳ đầu tư giai đoạn 1 với quy mô từ 50-70 giường bệnh).</w:t>
      </w:r>
    </w:p>
  </w:footnote>
  <w:footnote w:id="18">
    <w:p w:rsidR="005E4FE9" w:rsidRPr="005E390B" w:rsidRDefault="005E4FE9" w:rsidP="00171304">
      <w:pPr>
        <w:pStyle w:val="FootnoteText"/>
        <w:spacing w:before="60"/>
        <w:jc w:val="both"/>
      </w:pPr>
      <w:r w:rsidRPr="005E390B">
        <w:rPr>
          <w:rStyle w:val="FootnoteReference"/>
        </w:rPr>
        <w:footnoteRef/>
      </w:r>
      <w:r w:rsidRPr="005E390B">
        <w:t xml:space="preserve"> Dự kiến kế hoạch trung hạn chỉ đáp ứng được khoảng 52% nhu cầu vốn thanh toán khối lượng hoàn thành và chuyển tiếp các dự án dở dang.</w:t>
      </w:r>
    </w:p>
  </w:footnote>
  <w:footnote w:id="19">
    <w:p w:rsidR="00705224" w:rsidRPr="005E390B" w:rsidRDefault="00705224" w:rsidP="00171304">
      <w:pPr>
        <w:pStyle w:val="FootnoteText"/>
        <w:spacing w:before="60"/>
        <w:jc w:val="both"/>
        <w:rPr>
          <w:color w:val="FF0000"/>
          <w:lang w:val="en-GB"/>
        </w:rPr>
      </w:pPr>
      <w:r w:rsidRPr="005E390B">
        <w:rPr>
          <w:rStyle w:val="FootnoteReference"/>
        </w:rPr>
        <w:footnoteRef/>
      </w:r>
      <w:r w:rsidRPr="005E390B">
        <w:t xml:space="preserve"> </w:t>
      </w:r>
      <w:r w:rsidR="005E4FE9" w:rsidRPr="005E390B">
        <w:t xml:space="preserve">Chính sách về văn hóa theo NQ số 55/2013/NQ-HĐND đã thực hiện trong giai đoạn 2013-2016 là 247,297 tỷ đồng, nhu cầu </w:t>
      </w:r>
      <w:r w:rsidR="00124655" w:rsidRPr="005E390B">
        <w:t xml:space="preserve">vốn NSNN </w:t>
      </w:r>
      <w:r w:rsidR="005E4FE9" w:rsidRPr="005E390B">
        <w:t xml:space="preserve">theo đề án còn lại giai đoạn 2017-2020 là </w:t>
      </w:r>
      <w:r w:rsidR="0081035E" w:rsidRPr="005E390B">
        <w:t>1.620,926 tỷ đồng</w:t>
      </w:r>
      <w:r w:rsidR="00124655" w:rsidRPr="005E390B">
        <w:t xml:space="preserve">; Chính sách về y tế theo NQ số 144/2015/NQ-HĐND đến hết năm 2016 đã đầu tư 34 trạm y tế tuyến xã với TMĐT là 155,46 tỷ đồng, vốn đã bố trí là 61 tỷ đồng; nhu cầu cần thiết để đầu tư trạm y tế xã hoàn thành theo đề án là 120 dự án với số tiền 484 tỷ đồng, trong đó ngân sách tỉnh là 222 tỷ đồng; Chính sách về giáo dục theo QĐ số 35/2012/QĐ-UBND đã thực hiện đầu tư CSVC các trường từ mầm non đến THPT giai đoạn 2012-2016 là 499,613 tỷ đồng, nhu cầu vốn NSĐP còn lại theo đề án là 888,129 tỷ đồng </w:t>
      </w:r>
      <w:r w:rsidR="00FB1E03" w:rsidRPr="005E390B">
        <w:t>(trong đó ngân sách tỉnh là 297,106 tỷ đồng)</w:t>
      </w:r>
      <w:r w:rsidR="00DF4B60" w:rsidRPr="005E390B">
        <w:t>…</w:t>
      </w:r>
      <w:r w:rsidR="003D29A7" w:rsidRPr="005E390B" w:rsidDel="003D29A7">
        <w:rPr>
          <w:color w:val="FF0000"/>
          <w:lang w:val="en-GB"/>
        </w:rPr>
        <w:t xml:space="preserve"> </w:t>
      </w:r>
    </w:p>
  </w:footnote>
  <w:footnote w:id="20">
    <w:p w:rsidR="00B92C0B" w:rsidRPr="005E390B" w:rsidRDefault="00B92C0B" w:rsidP="00171304">
      <w:pPr>
        <w:pStyle w:val="FootnoteText"/>
        <w:spacing w:before="60"/>
        <w:jc w:val="both"/>
      </w:pPr>
      <w:r w:rsidRPr="005E390B">
        <w:rPr>
          <w:rStyle w:val="FootnoteReference"/>
        </w:rPr>
        <w:footnoteRef/>
      </w:r>
      <w:r w:rsidRPr="005E390B">
        <w:t xml:space="preserve"> Như các dự án thuộc chương trình mục tiêu Tái cơ cấu kinh tế nông nghiệp và phòng chống thiên tai, ổn định đời sống dân cư: mức vốn </w:t>
      </w:r>
      <w:r w:rsidR="005907B9" w:rsidRPr="005E390B">
        <w:t xml:space="preserve">được </w:t>
      </w:r>
      <w:r w:rsidRPr="005E390B">
        <w:t xml:space="preserve">thẩm định chỉ đạt </w:t>
      </w:r>
      <w:r w:rsidR="00D27B62" w:rsidRPr="005E390B">
        <w:t xml:space="preserve">bình quân </w:t>
      </w:r>
      <w:r w:rsidRPr="005E390B">
        <w:t>48% tổng mức đầu tư dự án</w:t>
      </w:r>
      <w:r w:rsidR="005907B9" w:rsidRPr="005E390B">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227A"/>
    <w:multiLevelType w:val="hybridMultilevel"/>
    <w:tmpl w:val="E3F0F1A0"/>
    <w:lvl w:ilvl="0" w:tplc="8526806A">
      <w:start w:val="1"/>
      <w:numFmt w:val="bullet"/>
      <w:lvlText w:val="-"/>
      <w:lvlJc w:val="left"/>
      <w:pPr>
        <w:ind w:left="2230" w:hanging="360"/>
      </w:pPr>
      <w:rPr>
        <w:rFonts w:ascii="Times New Roman" w:eastAsia="Times New Roman" w:hAnsi="Times New Roman" w:hint="default"/>
      </w:rPr>
    </w:lvl>
    <w:lvl w:ilvl="1" w:tplc="04090003" w:tentative="1">
      <w:start w:val="1"/>
      <w:numFmt w:val="bullet"/>
      <w:lvlText w:val="o"/>
      <w:lvlJc w:val="left"/>
      <w:pPr>
        <w:ind w:left="1849" w:hanging="360"/>
      </w:pPr>
      <w:rPr>
        <w:rFonts w:ascii="Courier New" w:hAnsi="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1">
    <w:nsid w:val="60F025E3"/>
    <w:multiLevelType w:val="hybridMultilevel"/>
    <w:tmpl w:val="DA265C26"/>
    <w:lvl w:ilvl="0" w:tplc="A09E6674">
      <w:start w:val="1"/>
      <w:numFmt w:val="bullet"/>
      <w:lvlText w:val="-"/>
      <w:lvlJc w:val="left"/>
      <w:pPr>
        <w:tabs>
          <w:tab w:val="num" w:pos="924"/>
        </w:tabs>
        <w:ind w:left="924" w:hanging="360"/>
      </w:pPr>
      <w:rPr>
        <w:rFonts w:ascii="Times New Roman" w:eastAsia="Times New Roman" w:hAnsi="Times New Roman" w:cs="Times New Roman" w:hint="default"/>
      </w:rPr>
    </w:lvl>
    <w:lvl w:ilvl="1" w:tplc="04090003" w:tentative="1">
      <w:start w:val="1"/>
      <w:numFmt w:val="bullet"/>
      <w:lvlText w:val="o"/>
      <w:lvlJc w:val="left"/>
      <w:pPr>
        <w:tabs>
          <w:tab w:val="num" w:pos="1644"/>
        </w:tabs>
        <w:ind w:left="1644" w:hanging="360"/>
      </w:pPr>
      <w:rPr>
        <w:rFonts w:ascii="Courier New" w:hAnsi="Courier New" w:cs="Courier New" w:hint="default"/>
      </w:rPr>
    </w:lvl>
    <w:lvl w:ilvl="2" w:tplc="04090005" w:tentative="1">
      <w:start w:val="1"/>
      <w:numFmt w:val="bullet"/>
      <w:lvlText w:val=""/>
      <w:lvlJc w:val="left"/>
      <w:pPr>
        <w:tabs>
          <w:tab w:val="num" w:pos="2364"/>
        </w:tabs>
        <w:ind w:left="2364" w:hanging="360"/>
      </w:pPr>
      <w:rPr>
        <w:rFonts w:ascii="Wingdings" w:hAnsi="Wingdings" w:hint="default"/>
      </w:rPr>
    </w:lvl>
    <w:lvl w:ilvl="3" w:tplc="04090001" w:tentative="1">
      <w:start w:val="1"/>
      <w:numFmt w:val="bullet"/>
      <w:lvlText w:val=""/>
      <w:lvlJc w:val="left"/>
      <w:pPr>
        <w:tabs>
          <w:tab w:val="num" w:pos="3084"/>
        </w:tabs>
        <w:ind w:left="3084" w:hanging="360"/>
      </w:pPr>
      <w:rPr>
        <w:rFonts w:ascii="Symbol" w:hAnsi="Symbol" w:hint="default"/>
      </w:rPr>
    </w:lvl>
    <w:lvl w:ilvl="4" w:tplc="04090003" w:tentative="1">
      <w:start w:val="1"/>
      <w:numFmt w:val="bullet"/>
      <w:lvlText w:val="o"/>
      <w:lvlJc w:val="left"/>
      <w:pPr>
        <w:tabs>
          <w:tab w:val="num" w:pos="3804"/>
        </w:tabs>
        <w:ind w:left="3804" w:hanging="360"/>
      </w:pPr>
      <w:rPr>
        <w:rFonts w:ascii="Courier New" w:hAnsi="Courier New" w:cs="Courier New" w:hint="default"/>
      </w:rPr>
    </w:lvl>
    <w:lvl w:ilvl="5" w:tplc="04090005" w:tentative="1">
      <w:start w:val="1"/>
      <w:numFmt w:val="bullet"/>
      <w:lvlText w:val=""/>
      <w:lvlJc w:val="left"/>
      <w:pPr>
        <w:tabs>
          <w:tab w:val="num" w:pos="4524"/>
        </w:tabs>
        <w:ind w:left="4524" w:hanging="360"/>
      </w:pPr>
      <w:rPr>
        <w:rFonts w:ascii="Wingdings" w:hAnsi="Wingdings" w:hint="default"/>
      </w:rPr>
    </w:lvl>
    <w:lvl w:ilvl="6" w:tplc="04090001" w:tentative="1">
      <w:start w:val="1"/>
      <w:numFmt w:val="bullet"/>
      <w:lvlText w:val=""/>
      <w:lvlJc w:val="left"/>
      <w:pPr>
        <w:tabs>
          <w:tab w:val="num" w:pos="5244"/>
        </w:tabs>
        <w:ind w:left="5244" w:hanging="360"/>
      </w:pPr>
      <w:rPr>
        <w:rFonts w:ascii="Symbol" w:hAnsi="Symbol" w:hint="default"/>
      </w:rPr>
    </w:lvl>
    <w:lvl w:ilvl="7" w:tplc="04090003" w:tentative="1">
      <w:start w:val="1"/>
      <w:numFmt w:val="bullet"/>
      <w:lvlText w:val="o"/>
      <w:lvlJc w:val="left"/>
      <w:pPr>
        <w:tabs>
          <w:tab w:val="num" w:pos="5964"/>
        </w:tabs>
        <w:ind w:left="5964" w:hanging="360"/>
      </w:pPr>
      <w:rPr>
        <w:rFonts w:ascii="Courier New" w:hAnsi="Courier New" w:cs="Courier New" w:hint="default"/>
      </w:rPr>
    </w:lvl>
    <w:lvl w:ilvl="8" w:tplc="04090005" w:tentative="1">
      <w:start w:val="1"/>
      <w:numFmt w:val="bullet"/>
      <w:lvlText w:val=""/>
      <w:lvlJc w:val="left"/>
      <w:pPr>
        <w:tabs>
          <w:tab w:val="num" w:pos="6684"/>
        </w:tabs>
        <w:ind w:left="6684" w:hanging="360"/>
      </w:pPr>
      <w:rPr>
        <w:rFonts w:ascii="Wingdings" w:hAnsi="Wingdings" w:hint="default"/>
      </w:rPr>
    </w:lvl>
  </w:abstractNum>
  <w:abstractNum w:abstractNumId="2">
    <w:nsid w:val="6678698C"/>
    <w:multiLevelType w:val="hybridMultilevel"/>
    <w:tmpl w:val="B4EC76DE"/>
    <w:lvl w:ilvl="0" w:tplc="DE4EE8E8">
      <w:start w:val="3"/>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6A9F19E3"/>
    <w:multiLevelType w:val="hybridMultilevel"/>
    <w:tmpl w:val="84F64D94"/>
    <w:lvl w:ilvl="0" w:tplc="1160E01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627"/>
    <w:rsid w:val="0000007E"/>
    <w:rsid w:val="000006FE"/>
    <w:rsid w:val="0000146F"/>
    <w:rsid w:val="00001CB4"/>
    <w:rsid w:val="00001CD3"/>
    <w:rsid w:val="00001CDF"/>
    <w:rsid w:val="00002AE6"/>
    <w:rsid w:val="00002D2B"/>
    <w:rsid w:val="000031A4"/>
    <w:rsid w:val="000033C3"/>
    <w:rsid w:val="000034CF"/>
    <w:rsid w:val="00003672"/>
    <w:rsid w:val="00003816"/>
    <w:rsid w:val="00003AB6"/>
    <w:rsid w:val="00003E7B"/>
    <w:rsid w:val="00003EDC"/>
    <w:rsid w:val="00004067"/>
    <w:rsid w:val="000041AB"/>
    <w:rsid w:val="0000442D"/>
    <w:rsid w:val="000053FE"/>
    <w:rsid w:val="00005986"/>
    <w:rsid w:val="00005A7A"/>
    <w:rsid w:val="00006903"/>
    <w:rsid w:val="00006D45"/>
    <w:rsid w:val="0001020A"/>
    <w:rsid w:val="0001081F"/>
    <w:rsid w:val="000108B4"/>
    <w:rsid w:val="0001095E"/>
    <w:rsid w:val="00010C4F"/>
    <w:rsid w:val="00011024"/>
    <w:rsid w:val="00011056"/>
    <w:rsid w:val="00011085"/>
    <w:rsid w:val="0001167A"/>
    <w:rsid w:val="00011795"/>
    <w:rsid w:val="0001254A"/>
    <w:rsid w:val="0001277E"/>
    <w:rsid w:val="0001294B"/>
    <w:rsid w:val="0001294C"/>
    <w:rsid w:val="00012AA0"/>
    <w:rsid w:val="00012B01"/>
    <w:rsid w:val="00012F12"/>
    <w:rsid w:val="0001304F"/>
    <w:rsid w:val="000130CC"/>
    <w:rsid w:val="00013457"/>
    <w:rsid w:val="00014465"/>
    <w:rsid w:val="000148EF"/>
    <w:rsid w:val="00014980"/>
    <w:rsid w:val="00014EBB"/>
    <w:rsid w:val="00015405"/>
    <w:rsid w:val="00015D32"/>
    <w:rsid w:val="00016332"/>
    <w:rsid w:val="000173E1"/>
    <w:rsid w:val="000203DA"/>
    <w:rsid w:val="000203FB"/>
    <w:rsid w:val="0002058B"/>
    <w:rsid w:val="00020828"/>
    <w:rsid w:val="0002118A"/>
    <w:rsid w:val="000216B9"/>
    <w:rsid w:val="000218FB"/>
    <w:rsid w:val="00021E65"/>
    <w:rsid w:val="0002236D"/>
    <w:rsid w:val="00022AE9"/>
    <w:rsid w:val="00022D43"/>
    <w:rsid w:val="00023BA6"/>
    <w:rsid w:val="00023BDE"/>
    <w:rsid w:val="00024F0C"/>
    <w:rsid w:val="00024FF6"/>
    <w:rsid w:val="0002504D"/>
    <w:rsid w:val="00025F97"/>
    <w:rsid w:val="0002705D"/>
    <w:rsid w:val="000275D3"/>
    <w:rsid w:val="0002762E"/>
    <w:rsid w:val="000276BF"/>
    <w:rsid w:val="0002786E"/>
    <w:rsid w:val="00027A20"/>
    <w:rsid w:val="00027B13"/>
    <w:rsid w:val="00027D5C"/>
    <w:rsid w:val="0003073F"/>
    <w:rsid w:val="00030DAA"/>
    <w:rsid w:val="00031009"/>
    <w:rsid w:val="00032178"/>
    <w:rsid w:val="0003253A"/>
    <w:rsid w:val="00032A6E"/>
    <w:rsid w:val="00032A7E"/>
    <w:rsid w:val="000335C3"/>
    <w:rsid w:val="0003371F"/>
    <w:rsid w:val="0003378F"/>
    <w:rsid w:val="000345CC"/>
    <w:rsid w:val="00035A6C"/>
    <w:rsid w:val="000360D0"/>
    <w:rsid w:val="00036162"/>
    <w:rsid w:val="0003636D"/>
    <w:rsid w:val="00036650"/>
    <w:rsid w:val="000369C9"/>
    <w:rsid w:val="00037881"/>
    <w:rsid w:val="00037E6F"/>
    <w:rsid w:val="00037EAD"/>
    <w:rsid w:val="000404F7"/>
    <w:rsid w:val="00040854"/>
    <w:rsid w:val="000419D3"/>
    <w:rsid w:val="00042891"/>
    <w:rsid w:val="00042917"/>
    <w:rsid w:val="000429BA"/>
    <w:rsid w:val="00042A33"/>
    <w:rsid w:val="0004304C"/>
    <w:rsid w:val="00043380"/>
    <w:rsid w:val="00043413"/>
    <w:rsid w:val="00044D85"/>
    <w:rsid w:val="0004507E"/>
    <w:rsid w:val="0004512A"/>
    <w:rsid w:val="00045CE6"/>
    <w:rsid w:val="000466FA"/>
    <w:rsid w:val="00046AAB"/>
    <w:rsid w:val="00047CB3"/>
    <w:rsid w:val="000500CE"/>
    <w:rsid w:val="000507CE"/>
    <w:rsid w:val="000507ED"/>
    <w:rsid w:val="0005090F"/>
    <w:rsid w:val="00050A1D"/>
    <w:rsid w:val="00050CF1"/>
    <w:rsid w:val="00050E76"/>
    <w:rsid w:val="000511FE"/>
    <w:rsid w:val="00052049"/>
    <w:rsid w:val="00052849"/>
    <w:rsid w:val="000528F4"/>
    <w:rsid w:val="00052BE7"/>
    <w:rsid w:val="00052D5C"/>
    <w:rsid w:val="00053527"/>
    <w:rsid w:val="00053898"/>
    <w:rsid w:val="00053ACD"/>
    <w:rsid w:val="00053AD5"/>
    <w:rsid w:val="0005405D"/>
    <w:rsid w:val="00054146"/>
    <w:rsid w:val="00054FBD"/>
    <w:rsid w:val="00055C22"/>
    <w:rsid w:val="000565EA"/>
    <w:rsid w:val="00056A2F"/>
    <w:rsid w:val="00056CDA"/>
    <w:rsid w:val="00056D33"/>
    <w:rsid w:val="000605E9"/>
    <w:rsid w:val="00060F17"/>
    <w:rsid w:val="000617C9"/>
    <w:rsid w:val="0006200E"/>
    <w:rsid w:val="0006250B"/>
    <w:rsid w:val="00062886"/>
    <w:rsid w:val="000629DF"/>
    <w:rsid w:val="00062B68"/>
    <w:rsid w:val="0006345A"/>
    <w:rsid w:val="0006400C"/>
    <w:rsid w:val="000647D3"/>
    <w:rsid w:val="00064F7B"/>
    <w:rsid w:val="000658D9"/>
    <w:rsid w:val="0006598E"/>
    <w:rsid w:val="000665AD"/>
    <w:rsid w:val="00067057"/>
    <w:rsid w:val="00067EDE"/>
    <w:rsid w:val="00071092"/>
    <w:rsid w:val="000713A2"/>
    <w:rsid w:val="000719E2"/>
    <w:rsid w:val="00071ADD"/>
    <w:rsid w:val="00071EB9"/>
    <w:rsid w:val="00072B3D"/>
    <w:rsid w:val="00072E36"/>
    <w:rsid w:val="00074AAB"/>
    <w:rsid w:val="00075046"/>
    <w:rsid w:val="00075082"/>
    <w:rsid w:val="00075252"/>
    <w:rsid w:val="00075D15"/>
    <w:rsid w:val="000770FA"/>
    <w:rsid w:val="000777B6"/>
    <w:rsid w:val="0008020A"/>
    <w:rsid w:val="0008052A"/>
    <w:rsid w:val="000809AC"/>
    <w:rsid w:val="00080B9A"/>
    <w:rsid w:val="000813D0"/>
    <w:rsid w:val="0008177C"/>
    <w:rsid w:val="000817A3"/>
    <w:rsid w:val="0008225A"/>
    <w:rsid w:val="000823F0"/>
    <w:rsid w:val="0008262F"/>
    <w:rsid w:val="00083423"/>
    <w:rsid w:val="00083A1D"/>
    <w:rsid w:val="00083CEE"/>
    <w:rsid w:val="00083EEA"/>
    <w:rsid w:val="000842A5"/>
    <w:rsid w:val="000857E7"/>
    <w:rsid w:val="00085D85"/>
    <w:rsid w:val="00085E7B"/>
    <w:rsid w:val="00086079"/>
    <w:rsid w:val="000860F4"/>
    <w:rsid w:val="000862D8"/>
    <w:rsid w:val="00086A82"/>
    <w:rsid w:val="00087162"/>
    <w:rsid w:val="00087893"/>
    <w:rsid w:val="0008789B"/>
    <w:rsid w:val="00090039"/>
    <w:rsid w:val="00090821"/>
    <w:rsid w:val="000916D9"/>
    <w:rsid w:val="00091848"/>
    <w:rsid w:val="000919F9"/>
    <w:rsid w:val="00092869"/>
    <w:rsid w:val="00092B0B"/>
    <w:rsid w:val="00092B12"/>
    <w:rsid w:val="00092DDF"/>
    <w:rsid w:val="000937D5"/>
    <w:rsid w:val="0009390F"/>
    <w:rsid w:val="00093D75"/>
    <w:rsid w:val="000941AA"/>
    <w:rsid w:val="00094421"/>
    <w:rsid w:val="00094480"/>
    <w:rsid w:val="000957C4"/>
    <w:rsid w:val="00095A97"/>
    <w:rsid w:val="00095BE9"/>
    <w:rsid w:val="0009638C"/>
    <w:rsid w:val="000966E4"/>
    <w:rsid w:val="00096950"/>
    <w:rsid w:val="000969BE"/>
    <w:rsid w:val="00096A9E"/>
    <w:rsid w:val="00096AA6"/>
    <w:rsid w:val="00096C81"/>
    <w:rsid w:val="00096D83"/>
    <w:rsid w:val="00097DE3"/>
    <w:rsid w:val="000A0AC9"/>
    <w:rsid w:val="000A0B6B"/>
    <w:rsid w:val="000A24FB"/>
    <w:rsid w:val="000A2FA6"/>
    <w:rsid w:val="000A309A"/>
    <w:rsid w:val="000A33C8"/>
    <w:rsid w:val="000A3FD6"/>
    <w:rsid w:val="000A424B"/>
    <w:rsid w:val="000A4460"/>
    <w:rsid w:val="000A4708"/>
    <w:rsid w:val="000A4DB9"/>
    <w:rsid w:val="000A65E8"/>
    <w:rsid w:val="000A66CE"/>
    <w:rsid w:val="000A6856"/>
    <w:rsid w:val="000A7106"/>
    <w:rsid w:val="000A755D"/>
    <w:rsid w:val="000A75C8"/>
    <w:rsid w:val="000A7CD9"/>
    <w:rsid w:val="000B03C1"/>
    <w:rsid w:val="000B043D"/>
    <w:rsid w:val="000B0445"/>
    <w:rsid w:val="000B0950"/>
    <w:rsid w:val="000B0AC1"/>
    <w:rsid w:val="000B0C9B"/>
    <w:rsid w:val="000B0E6F"/>
    <w:rsid w:val="000B1123"/>
    <w:rsid w:val="000B19C5"/>
    <w:rsid w:val="000B2680"/>
    <w:rsid w:val="000B288C"/>
    <w:rsid w:val="000B2D43"/>
    <w:rsid w:val="000B3084"/>
    <w:rsid w:val="000B39AF"/>
    <w:rsid w:val="000B49F1"/>
    <w:rsid w:val="000B4D43"/>
    <w:rsid w:val="000B4D87"/>
    <w:rsid w:val="000B4F3B"/>
    <w:rsid w:val="000B503E"/>
    <w:rsid w:val="000B5202"/>
    <w:rsid w:val="000B5A44"/>
    <w:rsid w:val="000B5CD9"/>
    <w:rsid w:val="000B5CED"/>
    <w:rsid w:val="000B5E28"/>
    <w:rsid w:val="000B665D"/>
    <w:rsid w:val="000B6AAE"/>
    <w:rsid w:val="000B7388"/>
    <w:rsid w:val="000B7EA9"/>
    <w:rsid w:val="000C0C8D"/>
    <w:rsid w:val="000C2B64"/>
    <w:rsid w:val="000C35BF"/>
    <w:rsid w:val="000C3655"/>
    <w:rsid w:val="000C4143"/>
    <w:rsid w:val="000C4371"/>
    <w:rsid w:val="000C44D3"/>
    <w:rsid w:val="000C55E5"/>
    <w:rsid w:val="000C5E7B"/>
    <w:rsid w:val="000C6234"/>
    <w:rsid w:val="000C740B"/>
    <w:rsid w:val="000C784C"/>
    <w:rsid w:val="000C7A74"/>
    <w:rsid w:val="000C7EEE"/>
    <w:rsid w:val="000D1A1B"/>
    <w:rsid w:val="000D1CCE"/>
    <w:rsid w:val="000D25DE"/>
    <w:rsid w:val="000D2670"/>
    <w:rsid w:val="000D2AFC"/>
    <w:rsid w:val="000D2ECD"/>
    <w:rsid w:val="000D3A18"/>
    <w:rsid w:val="000D3C47"/>
    <w:rsid w:val="000D40B6"/>
    <w:rsid w:val="000D4E93"/>
    <w:rsid w:val="000D50BB"/>
    <w:rsid w:val="000D50D0"/>
    <w:rsid w:val="000D51A8"/>
    <w:rsid w:val="000D57E1"/>
    <w:rsid w:val="000D5A26"/>
    <w:rsid w:val="000D5BBF"/>
    <w:rsid w:val="000D6305"/>
    <w:rsid w:val="000D6568"/>
    <w:rsid w:val="000D65E6"/>
    <w:rsid w:val="000D6F72"/>
    <w:rsid w:val="000D7374"/>
    <w:rsid w:val="000D7B5A"/>
    <w:rsid w:val="000E057C"/>
    <w:rsid w:val="000E1480"/>
    <w:rsid w:val="000E1D5B"/>
    <w:rsid w:val="000E1E48"/>
    <w:rsid w:val="000E2371"/>
    <w:rsid w:val="000E2664"/>
    <w:rsid w:val="000E2716"/>
    <w:rsid w:val="000E316E"/>
    <w:rsid w:val="000E3518"/>
    <w:rsid w:val="000E3935"/>
    <w:rsid w:val="000E443E"/>
    <w:rsid w:val="000E4554"/>
    <w:rsid w:val="000E47C1"/>
    <w:rsid w:val="000E583B"/>
    <w:rsid w:val="000E5CF8"/>
    <w:rsid w:val="000E5EEE"/>
    <w:rsid w:val="000E5EFA"/>
    <w:rsid w:val="000E68E2"/>
    <w:rsid w:val="000E70E8"/>
    <w:rsid w:val="000E77E2"/>
    <w:rsid w:val="000F06DD"/>
    <w:rsid w:val="000F1737"/>
    <w:rsid w:val="000F1FFE"/>
    <w:rsid w:val="000F2084"/>
    <w:rsid w:val="000F20DF"/>
    <w:rsid w:val="000F2950"/>
    <w:rsid w:val="000F2C28"/>
    <w:rsid w:val="000F3224"/>
    <w:rsid w:val="000F40D7"/>
    <w:rsid w:val="000F4210"/>
    <w:rsid w:val="000F4793"/>
    <w:rsid w:val="000F49A7"/>
    <w:rsid w:val="000F49EF"/>
    <w:rsid w:val="000F50CF"/>
    <w:rsid w:val="000F5E6C"/>
    <w:rsid w:val="000F5F83"/>
    <w:rsid w:val="000F612F"/>
    <w:rsid w:val="000F63E8"/>
    <w:rsid w:val="000F656A"/>
    <w:rsid w:val="000F6A06"/>
    <w:rsid w:val="000F6CDF"/>
    <w:rsid w:val="000F71F3"/>
    <w:rsid w:val="000F7940"/>
    <w:rsid w:val="000F7D18"/>
    <w:rsid w:val="001004F8"/>
    <w:rsid w:val="0010140C"/>
    <w:rsid w:val="0010175E"/>
    <w:rsid w:val="00101B35"/>
    <w:rsid w:val="00101BE7"/>
    <w:rsid w:val="00101E27"/>
    <w:rsid w:val="00101F77"/>
    <w:rsid w:val="001021C0"/>
    <w:rsid w:val="0010227D"/>
    <w:rsid w:val="001022E9"/>
    <w:rsid w:val="001023C3"/>
    <w:rsid w:val="0010284A"/>
    <w:rsid w:val="00102951"/>
    <w:rsid w:val="001043AC"/>
    <w:rsid w:val="00104BEF"/>
    <w:rsid w:val="00104EF7"/>
    <w:rsid w:val="00105633"/>
    <w:rsid w:val="00105AF7"/>
    <w:rsid w:val="001063EB"/>
    <w:rsid w:val="001064A6"/>
    <w:rsid w:val="0010691B"/>
    <w:rsid w:val="00106F0C"/>
    <w:rsid w:val="001073BB"/>
    <w:rsid w:val="00107487"/>
    <w:rsid w:val="00107AEF"/>
    <w:rsid w:val="00107CFD"/>
    <w:rsid w:val="001100BC"/>
    <w:rsid w:val="001100E2"/>
    <w:rsid w:val="001101C5"/>
    <w:rsid w:val="001107C3"/>
    <w:rsid w:val="00110830"/>
    <w:rsid w:val="00110A3D"/>
    <w:rsid w:val="00110B40"/>
    <w:rsid w:val="00111381"/>
    <w:rsid w:val="001116C4"/>
    <w:rsid w:val="001119D8"/>
    <w:rsid w:val="00112D92"/>
    <w:rsid w:val="00113402"/>
    <w:rsid w:val="001134BC"/>
    <w:rsid w:val="001136B2"/>
    <w:rsid w:val="00113934"/>
    <w:rsid w:val="00113A39"/>
    <w:rsid w:val="00113C24"/>
    <w:rsid w:val="001141A9"/>
    <w:rsid w:val="00114254"/>
    <w:rsid w:val="00114261"/>
    <w:rsid w:val="00114316"/>
    <w:rsid w:val="00114494"/>
    <w:rsid w:val="00115148"/>
    <w:rsid w:val="0011561E"/>
    <w:rsid w:val="00115AAB"/>
    <w:rsid w:val="00115F0E"/>
    <w:rsid w:val="00116C05"/>
    <w:rsid w:val="001170A5"/>
    <w:rsid w:val="00117701"/>
    <w:rsid w:val="001177E3"/>
    <w:rsid w:val="0011795E"/>
    <w:rsid w:val="00120185"/>
    <w:rsid w:val="00120EB6"/>
    <w:rsid w:val="00120F01"/>
    <w:rsid w:val="001217EF"/>
    <w:rsid w:val="00121A02"/>
    <w:rsid w:val="001220FB"/>
    <w:rsid w:val="00122A5D"/>
    <w:rsid w:val="00123AB0"/>
    <w:rsid w:val="00123AB4"/>
    <w:rsid w:val="0012404D"/>
    <w:rsid w:val="00124655"/>
    <w:rsid w:val="00124DE5"/>
    <w:rsid w:val="00125360"/>
    <w:rsid w:val="001255BF"/>
    <w:rsid w:val="00125FE8"/>
    <w:rsid w:val="0012656F"/>
    <w:rsid w:val="001265F3"/>
    <w:rsid w:val="00126805"/>
    <w:rsid w:val="0012690C"/>
    <w:rsid w:val="00126CA2"/>
    <w:rsid w:val="00126F3D"/>
    <w:rsid w:val="00127B75"/>
    <w:rsid w:val="00127BCE"/>
    <w:rsid w:val="00127E4E"/>
    <w:rsid w:val="001307C6"/>
    <w:rsid w:val="00130B19"/>
    <w:rsid w:val="001312AD"/>
    <w:rsid w:val="00131789"/>
    <w:rsid w:val="0013192A"/>
    <w:rsid w:val="001326FE"/>
    <w:rsid w:val="00133CCC"/>
    <w:rsid w:val="0013447D"/>
    <w:rsid w:val="001348A5"/>
    <w:rsid w:val="0013497C"/>
    <w:rsid w:val="00134FAE"/>
    <w:rsid w:val="00135495"/>
    <w:rsid w:val="001359AA"/>
    <w:rsid w:val="00135B8A"/>
    <w:rsid w:val="00135EFA"/>
    <w:rsid w:val="00135F3E"/>
    <w:rsid w:val="001369BD"/>
    <w:rsid w:val="0013718C"/>
    <w:rsid w:val="001373D0"/>
    <w:rsid w:val="00140124"/>
    <w:rsid w:val="00140196"/>
    <w:rsid w:val="00140201"/>
    <w:rsid w:val="001404EB"/>
    <w:rsid w:val="00140593"/>
    <w:rsid w:val="00140867"/>
    <w:rsid w:val="00140B2E"/>
    <w:rsid w:val="00140CFB"/>
    <w:rsid w:val="00141553"/>
    <w:rsid w:val="00141CD8"/>
    <w:rsid w:val="00142523"/>
    <w:rsid w:val="00142D3E"/>
    <w:rsid w:val="00142FEF"/>
    <w:rsid w:val="001447B8"/>
    <w:rsid w:val="00145ADD"/>
    <w:rsid w:val="00145ED2"/>
    <w:rsid w:val="001462CE"/>
    <w:rsid w:val="00146547"/>
    <w:rsid w:val="00146770"/>
    <w:rsid w:val="0014750A"/>
    <w:rsid w:val="00150E00"/>
    <w:rsid w:val="00150EE6"/>
    <w:rsid w:val="00151550"/>
    <w:rsid w:val="00152838"/>
    <w:rsid w:val="00152F4A"/>
    <w:rsid w:val="00152F4E"/>
    <w:rsid w:val="001531AD"/>
    <w:rsid w:val="00153CFB"/>
    <w:rsid w:val="00153E1D"/>
    <w:rsid w:val="001540B8"/>
    <w:rsid w:val="001543CD"/>
    <w:rsid w:val="001549AD"/>
    <w:rsid w:val="00154BD1"/>
    <w:rsid w:val="00154CFC"/>
    <w:rsid w:val="0015563E"/>
    <w:rsid w:val="001556F2"/>
    <w:rsid w:val="0015636B"/>
    <w:rsid w:val="00157870"/>
    <w:rsid w:val="00157CD7"/>
    <w:rsid w:val="00157D61"/>
    <w:rsid w:val="00157E85"/>
    <w:rsid w:val="001600BB"/>
    <w:rsid w:val="001602F3"/>
    <w:rsid w:val="00160A1D"/>
    <w:rsid w:val="00160E5E"/>
    <w:rsid w:val="00161548"/>
    <w:rsid w:val="001615F2"/>
    <w:rsid w:val="00162011"/>
    <w:rsid w:val="001623E5"/>
    <w:rsid w:val="00162AC8"/>
    <w:rsid w:val="00162D7A"/>
    <w:rsid w:val="001632DC"/>
    <w:rsid w:val="00164188"/>
    <w:rsid w:val="0016551C"/>
    <w:rsid w:val="0016594E"/>
    <w:rsid w:val="00167686"/>
    <w:rsid w:val="00167A4A"/>
    <w:rsid w:val="00167AFD"/>
    <w:rsid w:val="00167EB7"/>
    <w:rsid w:val="0017098C"/>
    <w:rsid w:val="00170BD4"/>
    <w:rsid w:val="00170EAE"/>
    <w:rsid w:val="00171304"/>
    <w:rsid w:val="00171D61"/>
    <w:rsid w:val="0017236C"/>
    <w:rsid w:val="00172F1E"/>
    <w:rsid w:val="0017333E"/>
    <w:rsid w:val="0017338C"/>
    <w:rsid w:val="0017379A"/>
    <w:rsid w:val="0017418B"/>
    <w:rsid w:val="0017432B"/>
    <w:rsid w:val="001747E4"/>
    <w:rsid w:val="0017524E"/>
    <w:rsid w:val="0017659E"/>
    <w:rsid w:val="00176DA9"/>
    <w:rsid w:val="001770BC"/>
    <w:rsid w:val="001800EB"/>
    <w:rsid w:val="00180365"/>
    <w:rsid w:val="001809B3"/>
    <w:rsid w:val="00181801"/>
    <w:rsid w:val="00181907"/>
    <w:rsid w:val="001819AB"/>
    <w:rsid w:val="001819D8"/>
    <w:rsid w:val="00181D48"/>
    <w:rsid w:val="0018256E"/>
    <w:rsid w:val="001825EB"/>
    <w:rsid w:val="00182D6D"/>
    <w:rsid w:val="001831D6"/>
    <w:rsid w:val="0018334E"/>
    <w:rsid w:val="00184206"/>
    <w:rsid w:val="00184310"/>
    <w:rsid w:val="0018449A"/>
    <w:rsid w:val="001847F7"/>
    <w:rsid w:val="001851DE"/>
    <w:rsid w:val="00185D93"/>
    <w:rsid w:val="0018637E"/>
    <w:rsid w:val="00186537"/>
    <w:rsid w:val="001865DB"/>
    <w:rsid w:val="00186663"/>
    <w:rsid w:val="0018732A"/>
    <w:rsid w:val="00187691"/>
    <w:rsid w:val="00187727"/>
    <w:rsid w:val="00187D52"/>
    <w:rsid w:val="00190BA4"/>
    <w:rsid w:val="00190C60"/>
    <w:rsid w:val="00191329"/>
    <w:rsid w:val="0019142C"/>
    <w:rsid w:val="0019174E"/>
    <w:rsid w:val="00192228"/>
    <w:rsid w:val="001929AA"/>
    <w:rsid w:val="00192EF7"/>
    <w:rsid w:val="00193225"/>
    <w:rsid w:val="00193DFA"/>
    <w:rsid w:val="001946FB"/>
    <w:rsid w:val="001947C7"/>
    <w:rsid w:val="00194ACB"/>
    <w:rsid w:val="00194B58"/>
    <w:rsid w:val="00194D97"/>
    <w:rsid w:val="00195B98"/>
    <w:rsid w:val="00196767"/>
    <w:rsid w:val="00197638"/>
    <w:rsid w:val="00197EE6"/>
    <w:rsid w:val="001A033D"/>
    <w:rsid w:val="001A15A1"/>
    <w:rsid w:val="001A1680"/>
    <w:rsid w:val="001A1B13"/>
    <w:rsid w:val="001A1CDF"/>
    <w:rsid w:val="001A1D3E"/>
    <w:rsid w:val="001A21CE"/>
    <w:rsid w:val="001A21F6"/>
    <w:rsid w:val="001A27D6"/>
    <w:rsid w:val="001A3A51"/>
    <w:rsid w:val="001A3E26"/>
    <w:rsid w:val="001A48CF"/>
    <w:rsid w:val="001A4AFE"/>
    <w:rsid w:val="001A525F"/>
    <w:rsid w:val="001A531F"/>
    <w:rsid w:val="001A5D88"/>
    <w:rsid w:val="001A6576"/>
    <w:rsid w:val="001A6A99"/>
    <w:rsid w:val="001A73E0"/>
    <w:rsid w:val="001A748B"/>
    <w:rsid w:val="001B00CD"/>
    <w:rsid w:val="001B0801"/>
    <w:rsid w:val="001B08FF"/>
    <w:rsid w:val="001B0B56"/>
    <w:rsid w:val="001B0B8B"/>
    <w:rsid w:val="001B0CF5"/>
    <w:rsid w:val="001B16D8"/>
    <w:rsid w:val="001B1B7D"/>
    <w:rsid w:val="001B1EF2"/>
    <w:rsid w:val="001B2201"/>
    <w:rsid w:val="001B231E"/>
    <w:rsid w:val="001B28E3"/>
    <w:rsid w:val="001B2FA4"/>
    <w:rsid w:val="001B35A4"/>
    <w:rsid w:val="001B3ABF"/>
    <w:rsid w:val="001B3DEE"/>
    <w:rsid w:val="001B449B"/>
    <w:rsid w:val="001B4CBE"/>
    <w:rsid w:val="001B507A"/>
    <w:rsid w:val="001B521B"/>
    <w:rsid w:val="001B5922"/>
    <w:rsid w:val="001B5E96"/>
    <w:rsid w:val="001B622F"/>
    <w:rsid w:val="001B69AC"/>
    <w:rsid w:val="001B74FB"/>
    <w:rsid w:val="001B75CF"/>
    <w:rsid w:val="001B7962"/>
    <w:rsid w:val="001B7C5F"/>
    <w:rsid w:val="001C02E1"/>
    <w:rsid w:val="001C0839"/>
    <w:rsid w:val="001C0A5D"/>
    <w:rsid w:val="001C1BA6"/>
    <w:rsid w:val="001C273D"/>
    <w:rsid w:val="001C2A35"/>
    <w:rsid w:val="001C2BA0"/>
    <w:rsid w:val="001C34F2"/>
    <w:rsid w:val="001C3BF0"/>
    <w:rsid w:val="001C41F1"/>
    <w:rsid w:val="001C4C2A"/>
    <w:rsid w:val="001C4C9E"/>
    <w:rsid w:val="001C4DA6"/>
    <w:rsid w:val="001C5597"/>
    <w:rsid w:val="001C5678"/>
    <w:rsid w:val="001C603F"/>
    <w:rsid w:val="001C649F"/>
    <w:rsid w:val="001C69DB"/>
    <w:rsid w:val="001C6A4B"/>
    <w:rsid w:val="001C6E54"/>
    <w:rsid w:val="001C746F"/>
    <w:rsid w:val="001D008F"/>
    <w:rsid w:val="001D00E0"/>
    <w:rsid w:val="001D0216"/>
    <w:rsid w:val="001D034A"/>
    <w:rsid w:val="001D0FAD"/>
    <w:rsid w:val="001D150F"/>
    <w:rsid w:val="001D1E1E"/>
    <w:rsid w:val="001D4216"/>
    <w:rsid w:val="001D4250"/>
    <w:rsid w:val="001D446A"/>
    <w:rsid w:val="001D49F3"/>
    <w:rsid w:val="001D5558"/>
    <w:rsid w:val="001D5908"/>
    <w:rsid w:val="001D5F00"/>
    <w:rsid w:val="001D636A"/>
    <w:rsid w:val="001D637B"/>
    <w:rsid w:val="001D6B51"/>
    <w:rsid w:val="001D758A"/>
    <w:rsid w:val="001D7912"/>
    <w:rsid w:val="001D7D90"/>
    <w:rsid w:val="001E09DF"/>
    <w:rsid w:val="001E160C"/>
    <w:rsid w:val="001E181E"/>
    <w:rsid w:val="001E2310"/>
    <w:rsid w:val="001E2A91"/>
    <w:rsid w:val="001E2B28"/>
    <w:rsid w:val="001E300E"/>
    <w:rsid w:val="001E3833"/>
    <w:rsid w:val="001E3EA0"/>
    <w:rsid w:val="001E54BA"/>
    <w:rsid w:val="001E5810"/>
    <w:rsid w:val="001E5B2D"/>
    <w:rsid w:val="001E5C34"/>
    <w:rsid w:val="001E6043"/>
    <w:rsid w:val="001E6AF9"/>
    <w:rsid w:val="001F0907"/>
    <w:rsid w:val="001F1052"/>
    <w:rsid w:val="001F1174"/>
    <w:rsid w:val="001F11C7"/>
    <w:rsid w:val="001F1C0C"/>
    <w:rsid w:val="001F1D69"/>
    <w:rsid w:val="001F2C28"/>
    <w:rsid w:val="001F2E78"/>
    <w:rsid w:val="001F3308"/>
    <w:rsid w:val="001F347A"/>
    <w:rsid w:val="001F373D"/>
    <w:rsid w:val="001F3C5C"/>
    <w:rsid w:val="001F3D3D"/>
    <w:rsid w:val="001F4104"/>
    <w:rsid w:val="001F4344"/>
    <w:rsid w:val="001F45E3"/>
    <w:rsid w:val="001F4F84"/>
    <w:rsid w:val="001F50B6"/>
    <w:rsid w:val="001F543D"/>
    <w:rsid w:val="001F5526"/>
    <w:rsid w:val="001F5C45"/>
    <w:rsid w:val="001F63BD"/>
    <w:rsid w:val="001F6512"/>
    <w:rsid w:val="001F6B03"/>
    <w:rsid w:val="001F77BA"/>
    <w:rsid w:val="00200432"/>
    <w:rsid w:val="00200A1C"/>
    <w:rsid w:val="00200E8F"/>
    <w:rsid w:val="00201145"/>
    <w:rsid w:val="0020135D"/>
    <w:rsid w:val="00201D4E"/>
    <w:rsid w:val="00202784"/>
    <w:rsid w:val="00202C99"/>
    <w:rsid w:val="00202E10"/>
    <w:rsid w:val="002030E9"/>
    <w:rsid w:val="002032DA"/>
    <w:rsid w:val="0020331E"/>
    <w:rsid w:val="00203534"/>
    <w:rsid w:val="0020406B"/>
    <w:rsid w:val="002045CA"/>
    <w:rsid w:val="00204AF3"/>
    <w:rsid w:val="00205175"/>
    <w:rsid w:val="0020533C"/>
    <w:rsid w:val="00207DE7"/>
    <w:rsid w:val="00210061"/>
    <w:rsid w:val="0021006B"/>
    <w:rsid w:val="00210C65"/>
    <w:rsid w:val="00210CEF"/>
    <w:rsid w:val="0021113B"/>
    <w:rsid w:val="002116E4"/>
    <w:rsid w:val="00211BC0"/>
    <w:rsid w:val="00211FE5"/>
    <w:rsid w:val="00212086"/>
    <w:rsid w:val="002120E5"/>
    <w:rsid w:val="0021213B"/>
    <w:rsid w:val="00212246"/>
    <w:rsid w:val="0021255A"/>
    <w:rsid w:val="00212BBD"/>
    <w:rsid w:val="00213020"/>
    <w:rsid w:val="00213982"/>
    <w:rsid w:val="002141EE"/>
    <w:rsid w:val="00214572"/>
    <w:rsid w:val="00214587"/>
    <w:rsid w:val="00214859"/>
    <w:rsid w:val="00215232"/>
    <w:rsid w:val="00215748"/>
    <w:rsid w:val="00215A1D"/>
    <w:rsid w:val="00216436"/>
    <w:rsid w:val="00216548"/>
    <w:rsid w:val="0021673C"/>
    <w:rsid w:val="00217409"/>
    <w:rsid w:val="00217B54"/>
    <w:rsid w:val="00220B8D"/>
    <w:rsid w:val="00220CC6"/>
    <w:rsid w:val="002210B5"/>
    <w:rsid w:val="00221322"/>
    <w:rsid w:val="002217C2"/>
    <w:rsid w:val="00221A32"/>
    <w:rsid w:val="00221AEF"/>
    <w:rsid w:val="00221D5C"/>
    <w:rsid w:val="00222A4B"/>
    <w:rsid w:val="00222BC1"/>
    <w:rsid w:val="0022321C"/>
    <w:rsid w:val="002237A4"/>
    <w:rsid w:val="0022451B"/>
    <w:rsid w:val="00224984"/>
    <w:rsid w:val="00224D8B"/>
    <w:rsid w:val="00224EC2"/>
    <w:rsid w:val="0022532D"/>
    <w:rsid w:val="00225D18"/>
    <w:rsid w:val="00226431"/>
    <w:rsid w:val="00226BF7"/>
    <w:rsid w:val="002271B0"/>
    <w:rsid w:val="00227A9B"/>
    <w:rsid w:val="00227B3C"/>
    <w:rsid w:val="0023149D"/>
    <w:rsid w:val="0023179F"/>
    <w:rsid w:val="00231E09"/>
    <w:rsid w:val="002321D3"/>
    <w:rsid w:val="0023268D"/>
    <w:rsid w:val="00232710"/>
    <w:rsid w:val="00233751"/>
    <w:rsid w:val="0023463D"/>
    <w:rsid w:val="00234A92"/>
    <w:rsid w:val="00235236"/>
    <w:rsid w:val="00235313"/>
    <w:rsid w:val="0023545E"/>
    <w:rsid w:val="00235D48"/>
    <w:rsid w:val="00235F99"/>
    <w:rsid w:val="00236D3C"/>
    <w:rsid w:val="00237058"/>
    <w:rsid w:val="0023710D"/>
    <w:rsid w:val="002372F7"/>
    <w:rsid w:val="0023775C"/>
    <w:rsid w:val="00237FDF"/>
    <w:rsid w:val="002406BF"/>
    <w:rsid w:val="00241301"/>
    <w:rsid w:val="00241C18"/>
    <w:rsid w:val="00241FA4"/>
    <w:rsid w:val="00242256"/>
    <w:rsid w:val="00242463"/>
    <w:rsid w:val="00242B49"/>
    <w:rsid w:val="00242E58"/>
    <w:rsid w:val="0024332A"/>
    <w:rsid w:val="002433FD"/>
    <w:rsid w:val="00243C7F"/>
    <w:rsid w:val="002441AC"/>
    <w:rsid w:val="00244B24"/>
    <w:rsid w:val="002451C0"/>
    <w:rsid w:val="002455BB"/>
    <w:rsid w:val="002455CA"/>
    <w:rsid w:val="00246605"/>
    <w:rsid w:val="00247406"/>
    <w:rsid w:val="00247D4E"/>
    <w:rsid w:val="0025055F"/>
    <w:rsid w:val="002510BC"/>
    <w:rsid w:val="002517CD"/>
    <w:rsid w:val="00251B0F"/>
    <w:rsid w:val="002520AB"/>
    <w:rsid w:val="00252157"/>
    <w:rsid w:val="0025312B"/>
    <w:rsid w:val="00253334"/>
    <w:rsid w:val="00253401"/>
    <w:rsid w:val="00253C43"/>
    <w:rsid w:val="0025425D"/>
    <w:rsid w:val="00254F37"/>
    <w:rsid w:val="00256475"/>
    <w:rsid w:val="00256DA8"/>
    <w:rsid w:val="00257075"/>
    <w:rsid w:val="00257C7C"/>
    <w:rsid w:val="002605F1"/>
    <w:rsid w:val="00261125"/>
    <w:rsid w:val="002613B3"/>
    <w:rsid w:val="002615CD"/>
    <w:rsid w:val="0026165B"/>
    <w:rsid w:val="0026193C"/>
    <w:rsid w:val="002619FF"/>
    <w:rsid w:val="00261AAF"/>
    <w:rsid w:val="00262866"/>
    <w:rsid w:val="00262994"/>
    <w:rsid w:val="002631C5"/>
    <w:rsid w:val="002649D5"/>
    <w:rsid w:val="00264E3C"/>
    <w:rsid w:val="00264E9C"/>
    <w:rsid w:val="002651DB"/>
    <w:rsid w:val="0026523F"/>
    <w:rsid w:val="00265257"/>
    <w:rsid w:val="00265339"/>
    <w:rsid w:val="00265586"/>
    <w:rsid w:val="00265D44"/>
    <w:rsid w:val="002660D4"/>
    <w:rsid w:val="0026718C"/>
    <w:rsid w:val="00267361"/>
    <w:rsid w:val="0026758A"/>
    <w:rsid w:val="00267D3E"/>
    <w:rsid w:val="00270055"/>
    <w:rsid w:val="00271ADD"/>
    <w:rsid w:val="00271CB7"/>
    <w:rsid w:val="0027203A"/>
    <w:rsid w:val="0027206F"/>
    <w:rsid w:val="002720A5"/>
    <w:rsid w:val="00272323"/>
    <w:rsid w:val="00272338"/>
    <w:rsid w:val="002723F8"/>
    <w:rsid w:val="002727E7"/>
    <w:rsid w:val="00272850"/>
    <w:rsid w:val="00272C31"/>
    <w:rsid w:val="00272D30"/>
    <w:rsid w:val="002737E4"/>
    <w:rsid w:val="002738A6"/>
    <w:rsid w:val="00273CA3"/>
    <w:rsid w:val="00274490"/>
    <w:rsid w:val="0027484F"/>
    <w:rsid w:val="00274B4D"/>
    <w:rsid w:val="00274CE9"/>
    <w:rsid w:val="002750B0"/>
    <w:rsid w:val="00275138"/>
    <w:rsid w:val="002755F3"/>
    <w:rsid w:val="00276141"/>
    <w:rsid w:val="0027627D"/>
    <w:rsid w:val="002767AB"/>
    <w:rsid w:val="002767E9"/>
    <w:rsid w:val="00276CD6"/>
    <w:rsid w:val="00276CE8"/>
    <w:rsid w:val="00277234"/>
    <w:rsid w:val="00277F2A"/>
    <w:rsid w:val="00280248"/>
    <w:rsid w:val="00280369"/>
    <w:rsid w:val="00280BB1"/>
    <w:rsid w:val="00281343"/>
    <w:rsid w:val="0028245A"/>
    <w:rsid w:val="00282B7B"/>
    <w:rsid w:val="00283258"/>
    <w:rsid w:val="00283511"/>
    <w:rsid w:val="00283BF4"/>
    <w:rsid w:val="00283D7F"/>
    <w:rsid w:val="00284617"/>
    <w:rsid w:val="002848CF"/>
    <w:rsid w:val="002850F9"/>
    <w:rsid w:val="00285343"/>
    <w:rsid w:val="00285D07"/>
    <w:rsid w:val="002866C5"/>
    <w:rsid w:val="00286965"/>
    <w:rsid w:val="00286F7D"/>
    <w:rsid w:val="002870A6"/>
    <w:rsid w:val="00287828"/>
    <w:rsid w:val="00287934"/>
    <w:rsid w:val="00290A5D"/>
    <w:rsid w:val="00290BCF"/>
    <w:rsid w:val="0029100E"/>
    <w:rsid w:val="00291531"/>
    <w:rsid w:val="002916B0"/>
    <w:rsid w:val="00291CFB"/>
    <w:rsid w:val="00292761"/>
    <w:rsid w:val="0029297F"/>
    <w:rsid w:val="00292A49"/>
    <w:rsid w:val="002932CD"/>
    <w:rsid w:val="00293CB4"/>
    <w:rsid w:val="002945D7"/>
    <w:rsid w:val="00294C33"/>
    <w:rsid w:val="0029567D"/>
    <w:rsid w:val="00295B27"/>
    <w:rsid w:val="002967AD"/>
    <w:rsid w:val="002967C2"/>
    <w:rsid w:val="00297C44"/>
    <w:rsid w:val="00297D1F"/>
    <w:rsid w:val="002A05BC"/>
    <w:rsid w:val="002A0676"/>
    <w:rsid w:val="002A0845"/>
    <w:rsid w:val="002A09F2"/>
    <w:rsid w:val="002A0D69"/>
    <w:rsid w:val="002A3585"/>
    <w:rsid w:val="002A37C7"/>
    <w:rsid w:val="002A3BCB"/>
    <w:rsid w:val="002A3D7C"/>
    <w:rsid w:val="002A4112"/>
    <w:rsid w:val="002A4EA0"/>
    <w:rsid w:val="002A4EB9"/>
    <w:rsid w:val="002A5E8F"/>
    <w:rsid w:val="002A656E"/>
    <w:rsid w:val="002A66F7"/>
    <w:rsid w:val="002A6718"/>
    <w:rsid w:val="002A720B"/>
    <w:rsid w:val="002A7DB6"/>
    <w:rsid w:val="002B020F"/>
    <w:rsid w:val="002B0587"/>
    <w:rsid w:val="002B08F8"/>
    <w:rsid w:val="002B12FC"/>
    <w:rsid w:val="002B19F2"/>
    <w:rsid w:val="002B1EA8"/>
    <w:rsid w:val="002B215C"/>
    <w:rsid w:val="002B291B"/>
    <w:rsid w:val="002B2E11"/>
    <w:rsid w:val="002B381F"/>
    <w:rsid w:val="002B4261"/>
    <w:rsid w:val="002B46D9"/>
    <w:rsid w:val="002B4B92"/>
    <w:rsid w:val="002B4D22"/>
    <w:rsid w:val="002B60CD"/>
    <w:rsid w:val="002B6724"/>
    <w:rsid w:val="002B6A56"/>
    <w:rsid w:val="002B71B2"/>
    <w:rsid w:val="002B736B"/>
    <w:rsid w:val="002B7538"/>
    <w:rsid w:val="002B7BCD"/>
    <w:rsid w:val="002B7BD4"/>
    <w:rsid w:val="002C0278"/>
    <w:rsid w:val="002C0ECC"/>
    <w:rsid w:val="002C132B"/>
    <w:rsid w:val="002C1CF9"/>
    <w:rsid w:val="002C2230"/>
    <w:rsid w:val="002C26C7"/>
    <w:rsid w:val="002C29ED"/>
    <w:rsid w:val="002C2BB9"/>
    <w:rsid w:val="002C2DAA"/>
    <w:rsid w:val="002C2E63"/>
    <w:rsid w:val="002C322E"/>
    <w:rsid w:val="002C381F"/>
    <w:rsid w:val="002C3A9D"/>
    <w:rsid w:val="002C4294"/>
    <w:rsid w:val="002C4B37"/>
    <w:rsid w:val="002C5661"/>
    <w:rsid w:val="002C5F53"/>
    <w:rsid w:val="002C68DC"/>
    <w:rsid w:val="002C6EAD"/>
    <w:rsid w:val="002C7CE9"/>
    <w:rsid w:val="002D019D"/>
    <w:rsid w:val="002D03AD"/>
    <w:rsid w:val="002D2351"/>
    <w:rsid w:val="002D2478"/>
    <w:rsid w:val="002D2775"/>
    <w:rsid w:val="002D4799"/>
    <w:rsid w:val="002D483B"/>
    <w:rsid w:val="002D49BB"/>
    <w:rsid w:val="002D52CE"/>
    <w:rsid w:val="002D66A1"/>
    <w:rsid w:val="002D6807"/>
    <w:rsid w:val="002D6810"/>
    <w:rsid w:val="002D6927"/>
    <w:rsid w:val="002D6D93"/>
    <w:rsid w:val="002D6EFD"/>
    <w:rsid w:val="002D708B"/>
    <w:rsid w:val="002D745D"/>
    <w:rsid w:val="002D76AD"/>
    <w:rsid w:val="002D7750"/>
    <w:rsid w:val="002D7B91"/>
    <w:rsid w:val="002D7D99"/>
    <w:rsid w:val="002E0554"/>
    <w:rsid w:val="002E0E33"/>
    <w:rsid w:val="002E146B"/>
    <w:rsid w:val="002E1628"/>
    <w:rsid w:val="002E2891"/>
    <w:rsid w:val="002E2FE1"/>
    <w:rsid w:val="002E311D"/>
    <w:rsid w:val="002E3171"/>
    <w:rsid w:val="002E3376"/>
    <w:rsid w:val="002E37C0"/>
    <w:rsid w:val="002E3E84"/>
    <w:rsid w:val="002E4370"/>
    <w:rsid w:val="002E46F3"/>
    <w:rsid w:val="002E5041"/>
    <w:rsid w:val="002E5532"/>
    <w:rsid w:val="002E6A14"/>
    <w:rsid w:val="002E72EA"/>
    <w:rsid w:val="002E7446"/>
    <w:rsid w:val="002E7A04"/>
    <w:rsid w:val="002F0319"/>
    <w:rsid w:val="002F06C6"/>
    <w:rsid w:val="002F1852"/>
    <w:rsid w:val="002F19B8"/>
    <w:rsid w:val="002F2007"/>
    <w:rsid w:val="002F25C0"/>
    <w:rsid w:val="002F2919"/>
    <w:rsid w:val="002F2D52"/>
    <w:rsid w:val="002F30D0"/>
    <w:rsid w:val="002F3432"/>
    <w:rsid w:val="002F3A55"/>
    <w:rsid w:val="002F3BD5"/>
    <w:rsid w:val="002F3E8B"/>
    <w:rsid w:val="002F3F06"/>
    <w:rsid w:val="002F40FF"/>
    <w:rsid w:val="002F41AD"/>
    <w:rsid w:val="002F4D7F"/>
    <w:rsid w:val="002F6742"/>
    <w:rsid w:val="002F6C3F"/>
    <w:rsid w:val="002F6FD8"/>
    <w:rsid w:val="002F7974"/>
    <w:rsid w:val="00300A62"/>
    <w:rsid w:val="00300B2E"/>
    <w:rsid w:val="00301067"/>
    <w:rsid w:val="003014C7"/>
    <w:rsid w:val="003015C5"/>
    <w:rsid w:val="00301B23"/>
    <w:rsid w:val="00301B6B"/>
    <w:rsid w:val="00301DB7"/>
    <w:rsid w:val="00301DBA"/>
    <w:rsid w:val="00302136"/>
    <w:rsid w:val="0030222C"/>
    <w:rsid w:val="003023F2"/>
    <w:rsid w:val="00302FAB"/>
    <w:rsid w:val="003036A6"/>
    <w:rsid w:val="003039FE"/>
    <w:rsid w:val="00303BCF"/>
    <w:rsid w:val="00303F18"/>
    <w:rsid w:val="0030407B"/>
    <w:rsid w:val="0030411E"/>
    <w:rsid w:val="003041C9"/>
    <w:rsid w:val="00307093"/>
    <w:rsid w:val="003074E1"/>
    <w:rsid w:val="0031033C"/>
    <w:rsid w:val="00310720"/>
    <w:rsid w:val="00311077"/>
    <w:rsid w:val="00311741"/>
    <w:rsid w:val="00312300"/>
    <w:rsid w:val="003133C2"/>
    <w:rsid w:val="0031340F"/>
    <w:rsid w:val="0031390A"/>
    <w:rsid w:val="00313C09"/>
    <w:rsid w:val="00314581"/>
    <w:rsid w:val="00314597"/>
    <w:rsid w:val="0031465C"/>
    <w:rsid w:val="003146DB"/>
    <w:rsid w:val="00314B85"/>
    <w:rsid w:val="00314C3F"/>
    <w:rsid w:val="003154B8"/>
    <w:rsid w:val="00315F12"/>
    <w:rsid w:val="00316630"/>
    <w:rsid w:val="00316E02"/>
    <w:rsid w:val="00317458"/>
    <w:rsid w:val="0031764A"/>
    <w:rsid w:val="00317EF4"/>
    <w:rsid w:val="00320EC9"/>
    <w:rsid w:val="00321032"/>
    <w:rsid w:val="00321289"/>
    <w:rsid w:val="00321491"/>
    <w:rsid w:val="0032181C"/>
    <w:rsid w:val="003223B0"/>
    <w:rsid w:val="003225FE"/>
    <w:rsid w:val="00322677"/>
    <w:rsid w:val="00322B19"/>
    <w:rsid w:val="00322C30"/>
    <w:rsid w:val="00322D9A"/>
    <w:rsid w:val="00322DBA"/>
    <w:rsid w:val="00323366"/>
    <w:rsid w:val="003233D5"/>
    <w:rsid w:val="0032461D"/>
    <w:rsid w:val="00324883"/>
    <w:rsid w:val="00324EEA"/>
    <w:rsid w:val="00325982"/>
    <w:rsid w:val="00326623"/>
    <w:rsid w:val="003269E4"/>
    <w:rsid w:val="00326B0F"/>
    <w:rsid w:val="00326BEE"/>
    <w:rsid w:val="0032731A"/>
    <w:rsid w:val="003278E7"/>
    <w:rsid w:val="00327A88"/>
    <w:rsid w:val="003309DB"/>
    <w:rsid w:val="00330CAD"/>
    <w:rsid w:val="00330FEB"/>
    <w:rsid w:val="003310B1"/>
    <w:rsid w:val="003314E2"/>
    <w:rsid w:val="00331944"/>
    <w:rsid w:val="00332A44"/>
    <w:rsid w:val="00332EBB"/>
    <w:rsid w:val="0033354D"/>
    <w:rsid w:val="00333B79"/>
    <w:rsid w:val="00333D5B"/>
    <w:rsid w:val="003340BB"/>
    <w:rsid w:val="00334DB1"/>
    <w:rsid w:val="00334E79"/>
    <w:rsid w:val="0033519A"/>
    <w:rsid w:val="00335B7F"/>
    <w:rsid w:val="0033621D"/>
    <w:rsid w:val="003369AC"/>
    <w:rsid w:val="00337385"/>
    <w:rsid w:val="003377DE"/>
    <w:rsid w:val="003377F1"/>
    <w:rsid w:val="00337A79"/>
    <w:rsid w:val="00337F6B"/>
    <w:rsid w:val="0034030A"/>
    <w:rsid w:val="00340495"/>
    <w:rsid w:val="00340999"/>
    <w:rsid w:val="00340C7C"/>
    <w:rsid w:val="0034154E"/>
    <w:rsid w:val="0034192D"/>
    <w:rsid w:val="0034291B"/>
    <w:rsid w:val="00343E3C"/>
    <w:rsid w:val="00344247"/>
    <w:rsid w:val="003447B6"/>
    <w:rsid w:val="003450C6"/>
    <w:rsid w:val="00345706"/>
    <w:rsid w:val="00345985"/>
    <w:rsid w:val="00345D9F"/>
    <w:rsid w:val="003474C6"/>
    <w:rsid w:val="003474CB"/>
    <w:rsid w:val="00347882"/>
    <w:rsid w:val="00347A3C"/>
    <w:rsid w:val="00347F2B"/>
    <w:rsid w:val="00350E6E"/>
    <w:rsid w:val="003510C1"/>
    <w:rsid w:val="003521CB"/>
    <w:rsid w:val="00352206"/>
    <w:rsid w:val="003524DE"/>
    <w:rsid w:val="0035257A"/>
    <w:rsid w:val="00352D53"/>
    <w:rsid w:val="00352E0E"/>
    <w:rsid w:val="0035317B"/>
    <w:rsid w:val="00353B1E"/>
    <w:rsid w:val="00354512"/>
    <w:rsid w:val="00354B02"/>
    <w:rsid w:val="003552FD"/>
    <w:rsid w:val="0035564D"/>
    <w:rsid w:val="00355831"/>
    <w:rsid w:val="00356FEC"/>
    <w:rsid w:val="0035731D"/>
    <w:rsid w:val="003574A0"/>
    <w:rsid w:val="00357A91"/>
    <w:rsid w:val="00357FDC"/>
    <w:rsid w:val="00360EE0"/>
    <w:rsid w:val="00360F53"/>
    <w:rsid w:val="00361869"/>
    <w:rsid w:val="003619C3"/>
    <w:rsid w:val="00361DDB"/>
    <w:rsid w:val="0036208E"/>
    <w:rsid w:val="00362C24"/>
    <w:rsid w:val="00363860"/>
    <w:rsid w:val="00364282"/>
    <w:rsid w:val="003648AC"/>
    <w:rsid w:val="00364C72"/>
    <w:rsid w:val="0036515D"/>
    <w:rsid w:val="00365962"/>
    <w:rsid w:val="00365A87"/>
    <w:rsid w:val="00365FFA"/>
    <w:rsid w:val="00366856"/>
    <w:rsid w:val="003669B9"/>
    <w:rsid w:val="00367531"/>
    <w:rsid w:val="003724CC"/>
    <w:rsid w:val="0037279E"/>
    <w:rsid w:val="003728F8"/>
    <w:rsid w:val="00372B64"/>
    <w:rsid w:val="00373637"/>
    <w:rsid w:val="00373E73"/>
    <w:rsid w:val="0037408D"/>
    <w:rsid w:val="003742F0"/>
    <w:rsid w:val="00374D0D"/>
    <w:rsid w:val="00375600"/>
    <w:rsid w:val="00375F4B"/>
    <w:rsid w:val="00376836"/>
    <w:rsid w:val="00376FAD"/>
    <w:rsid w:val="00377013"/>
    <w:rsid w:val="003772EB"/>
    <w:rsid w:val="00380CD8"/>
    <w:rsid w:val="00381CDB"/>
    <w:rsid w:val="00381D0D"/>
    <w:rsid w:val="0038288A"/>
    <w:rsid w:val="00382EA8"/>
    <w:rsid w:val="003839BA"/>
    <w:rsid w:val="00383F2B"/>
    <w:rsid w:val="00384594"/>
    <w:rsid w:val="00384B66"/>
    <w:rsid w:val="00384F89"/>
    <w:rsid w:val="00385CF4"/>
    <w:rsid w:val="00386283"/>
    <w:rsid w:val="00386364"/>
    <w:rsid w:val="0038659E"/>
    <w:rsid w:val="00387273"/>
    <w:rsid w:val="00387733"/>
    <w:rsid w:val="0039034D"/>
    <w:rsid w:val="003904A5"/>
    <w:rsid w:val="003905AB"/>
    <w:rsid w:val="00390D78"/>
    <w:rsid w:val="003914D3"/>
    <w:rsid w:val="00391AE8"/>
    <w:rsid w:val="00393587"/>
    <w:rsid w:val="00393723"/>
    <w:rsid w:val="0039382D"/>
    <w:rsid w:val="003956AF"/>
    <w:rsid w:val="003957D7"/>
    <w:rsid w:val="003958CB"/>
    <w:rsid w:val="00395C2C"/>
    <w:rsid w:val="0039632F"/>
    <w:rsid w:val="00396625"/>
    <w:rsid w:val="0039718E"/>
    <w:rsid w:val="003A01EF"/>
    <w:rsid w:val="003A03FB"/>
    <w:rsid w:val="003A15C4"/>
    <w:rsid w:val="003A1A8D"/>
    <w:rsid w:val="003A1B1A"/>
    <w:rsid w:val="003A230B"/>
    <w:rsid w:val="003A2318"/>
    <w:rsid w:val="003A254F"/>
    <w:rsid w:val="003A2AD6"/>
    <w:rsid w:val="003A3103"/>
    <w:rsid w:val="003A317C"/>
    <w:rsid w:val="003A3625"/>
    <w:rsid w:val="003A3714"/>
    <w:rsid w:val="003A3B66"/>
    <w:rsid w:val="003A411E"/>
    <w:rsid w:val="003A416B"/>
    <w:rsid w:val="003A4CBC"/>
    <w:rsid w:val="003A6412"/>
    <w:rsid w:val="003A6542"/>
    <w:rsid w:val="003A715D"/>
    <w:rsid w:val="003A7340"/>
    <w:rsid w:val="003B0FEF"/>
    <w:rsid w:val="003B2348"/>
    <w:rsid w:val="003B2B38"/>
    <w:rsid w:val="003B3273"/>
    <w:rsid w:val="003B3290"/>
    <w:rsid w:val="003B336E"/>
    <w:rsid w:val="003B357F"/>
    <w:rsid w:val="003B3A41"/>
    <w:rsid w:val="003B3E04"/>
    <w:rsid w:val="003B4503"/>
    <w:rsid w:val="003B45A7"/>
    <w:rsid w:val="003B46E1"/>
    <w:rsid w:val="003B4729"/>
    <w:rsid w:val="003B49F5"/>
    <w:rsid w:val="003B4A0B"/>
    <w:rsid w:val="003B4C01"/>
    <w:rsid w:val="003B5CA3"/>
    <w:rsid w:val="003B6176"/>
    <w:rsid w:val="003B6710"/>
    <w:rsid w:val="003B79B2"/>
    <w:rsid w:val="003B7E95"/>
    <w:rsid w:val="003C0A62"/>
    <w:rsid w:val="003C0B1C"/>
    <w:rsid w:val="003C11FF"/>
    <w:rsid w:val="003C1682"/>
    <w:rsid w:val="003C1D46"/>
    <w:rsid w:val="003C21C0"/>
    <w:rsid w:val="003C3728"/>
    <w:rsid w:val="003C3A30"/>
    <w:rsid w:val="003C3BED"/>
    <w:rsid w:val="003C42EC"/>
    <w:rsid w:val="003C49EC"/>
    <w:rsid w:val="003C4D72"/>
    <w:rsid w:val="003C55AC"/>
    <w:rsid w:val="003C64C2"/>
    <w:rsid w:val="003C6D15"/>
    <w:rsid w:val="003C6FA3"/>
    <w:rsid w:val="003C79CE"/>
    <w:rsid w:val="003D0B1A"/>
    <w:rsid w:val="003D1EF0"/>
    <w:rsid w:val="003D20F9"/>
    <w:rsid w:val="003D29A7"/>
    <w:rsid w:val="003D2E84"/>
    <w:rsid w:val="003D33C3"/>
    <w:rsid w:val="003D42DE"/>
    <w:rsid w:val="003D4924"/>
    <w:rsid w:val="003D5039"/>
    <w:rsid w:val="003D5390"/>
    <w:rsid w:val="003D58CE"/>
    <w:rsid w:val="003D5EA9"/>
    <w:rsid w:val="003D63E0"/>
    <w:rsid w:val="003D68F1"/>
    <w:rsid w:val="003D7084"/>
    <w:rsid w:val="003D73C5"/>
    <w:rsid w:val="003D7879"/>
    <w:rsid w:val="003D7A24"/>
    <w:rsid w:val="003D7BCF"/>
    <w:rsid w:val="003E1795"/>
    <w:rsid w:val="003E2539"/>
    <w:rsid w:val="003E27DD"/>
    <w:rsid w:val="003E2C1B"/>
    <w:rsid w:val="003E2DDC"/>
    <w:rsid w:val="003E304D"/>
    <w:rsid w:val="003E30FE"/>
    <w:rsid w:val="003E331D"/>
    <w:rsid w:val="003E3700"/>
    <w:rsid w:val="003E3B4D"/>
    <w:rsid w:val="003E3B79"/>
    <w:rsid w:val="003E3BCF"/>
    <w:rsid w:val="003E4179"/>
    <w:rsid w:val="003E41EE"/>
    <w:rsid w:val="003E495B"/>
    <w:rsid w:val="003E4CB4"/>
    <w:rsid w:val="003E4D8A"/>
    <w:rsid w:val="003E5353"/>
    <w:rsid w:val="003E6BEC"/>
    <w:rsid w:val="003E72C6"/>
    <w:rsid w:val="003E7399"/>
    <w:rsid w:val="003E7488"/>
    <w:rsid w:val="003F00DB"/>
    <w:rsid w:val="003F01D0"/>
    <w:rsid w:val="003F0982"/>
    <w:rsid w:val="003F1013"/>
    <w:rsid w:val="003F103F"/>
    <w:rsid w:val="003F1042"/>
    <w:rsid w:val="003F134F"/>
    <w:rsid w:val="003F13A6"/>
    <w:rsid w:val="003F13DF"/>
    <w:rsid w:val="003F17C4"/>
    <w:rsid w:val="003F1DCC"/>
    <w:rsid w:val="003F20B8"/>
    <w:rsid w:val="003F330E"/>
    <w:rsid w:val="003F378E"/>
    <w:rsid w:val="003F3F42"/>
    <w:rsid w:val="003F4162"/>
    <w:rsid w:val="003F4442"/>
    <w:rsid w:val="003F4714"/>
    <w:rsid w:val="003F570B"/>
    <w:rsid w:val="003F5F24"/>
    <w:rsid w:val="003F69D2"/>
    <w:rsid w:val="003F763A"/>
    <w:rsid w:val="00400114"/>
    <w:rsid w:val="004003D7"/>
    <w:rsid w:val="004004CD"/>
    <w:rsid w:val="00400F09"/>
    <w:rsid w:val="00401014"/>
    <w:rsid w:val="004013EF"/>
    <w:rsid w:val="004019EB"/>
    <w:rsid w:val="00402A10"/>
    <w:rsid w:val="00402D67"/>
    <w:rsid w:val="00402EC9"/>
    <w:rsid w:val="004033D7"/>
    <w:rsid w:val="00403FCC"/>
    <w:rsid w:val="00404050"/>
    <w:rsid w:val="004043A7"/>
    <w:rsid w:val="00405333"/>
    <w:rsid w:val="0040568D"/>
    <w:rsid w:val="00405879"/>
    <w:rsid w:val="004066BA"/>
    <w:rsid w:val="00406E79"/>
    <w:rsid w:val="004107A7"/>
    <w:rsid w:val="00410928"/>
    <w:rsid w:val="00410B32"/>
    <w:rsid w:val="00410C09"/>
    <w:rsid w:val="00410CC1"/>
    <w:rsid w:val="00411232"/>
    <w:rsid w:val="00411330"/>
    <w:rsid w:val="00411B49"/>
    <w:rsid w:val="00411BEB"/>
    <w:rsid w:val="004120D2"/>
    <w:rsid w:val="00413050"/>
    <w:rsid w:val="004137EC"/>
    <w:rsid w:val="00413D43"/>
    <w:rsid w:val="0041407E"/>
    <w:rsid w:val="004164D3"/>
    <w:rsid w:val="00416808"/>
    <w:rsid w:val="00416B96"/>
    <w:rsid w:val="00420A43"/>
    <w:rsid w:val="0042105A"/>
    <w:rsid w:val="0042145D"/>
    <w:rsid w:val="0042185F"/>
    <w:rsid w:val="00421CBC"/>
    <w:rsid w:val="00421DA7"/>
    <w:rsid w:val="00421EC4"/>
    <w:rsid w:val="00422D2B"/>
    <w:rsid w:val="00422EAD"/>
    <w:rsid w:val="00423005"/>
    <w:rsid w:val="00423F01"/>
    <w:rsid w:val="00424533"/>
    <w:rsid w:val="004249F6"/>
    <w:rsid w:val="004251C0"/>
    <w:rsid w:val="004252DE"/>
    <w:rsid w:val="00425AE9"/>
    <w:rsid w:val="00425D2A"/>
    <w:rsid w:val="00425D82"/>
    <w:rsid w:val="00425DB8"/>
    <w:rsid w:val="00427E92"/>
    <w:rsid w:val="00427EED"/>
    <w:rsid w:val="004301D1"/>
    <w:rsid w:val="00430322"/>
    <w:rsid w:val="00430492"/>
    <w:rsid w:val="004306C8"/>
    <w:rsid w:val="00431155"/>
    <w:rsid w:val="00431599"/>
    <w:rsid w:val="004315F7"/>
    <w:rsid w:val="00431997"/>
    <w:rsid w:val="004326F5"/>
    <w:rsid w:val="004330F2"/>
    <w:rsid w:val="00433143"/>
    <w:rsid w:val="004331C9"/>
    <w:rsid w:val="004341DD"/>
    <w:rsid w:val="0043524C"/>
    <w:rsid w:val="004353D2"/>
    <w:rsid w:val="0043591A"/>
    <w:rsid w:val="00435F51"/>
    <w:rsid w:val="004370E2"/>
    <w:rsid w:val="00437395"/>
    <w:rsid w:val="00437DA7"/>
    <w:rsid w:val="00440512"/>
    <w:rsid w:val="00440F84"/>
    <w:rsid w:val="0044101D"/>
    <w:rsid w:val="004411EB"/>
    <w:rsid w:val="004417EB"/>
    <w:rsid w:val="00442621"/>
    <w:rsid w:val="00442D9F"/>
    <w:rsid w:val="00442EE3"/>
    <w:rsid w:val="00442EF8"/>
    <w:rsid w:val="00442F43"/>
    <w:rsid w:val="004437D6"/>
    <w:rsid w:val="00443BEA"/>
    <w:rsid w:val="00444C88"/>
    <w:rsid w:val="00444F20"/>
    <w:rsid w:val="0044500E"/>
    <w:rsid w:val="004452F7"/>
    <w:rsid w:val="00445426"/>
    <w:rsid w:val="0044562E"/>
    <w:rsid w:val="00445DB3"/>
    <w:rsid w:val="0044635D"/>
    <w:rsid w:val="004467D7"/>
    <w:rsid w:val="00446B80"/>
    <w:rsid w:val="00446FA3"/>
    <w:rsid w:val="00447570"/>
    <w:rsid w:val="00447980"/>
    <w:rsid w:val="00447C96"/>
    <w:rsid w:val="00447E11"/>
    <w:rsid w:val="00450501"/>
    <w:rsid w:val="00450EED"/>
    <w:rsid w:val="00451394"/>
    <w:rsid w:val="00451A0F"/>
    <w:rsid w:val="00452179"/>
    <w:rsid w:val="004522F4"/>
    <w:rsid w:val="0045312D"/>
    <w:rsid w:val="004531A3"/>
    <w:rsid w:val="00453FA9"/>
    <w:rsid w:val="00454E6C"/>
    <w:rsid w:val="004551B2"/>
    <w:rsid w:val="00455378"/>
    <w:rsid w:val="00455B29"/>
    <w:rsid w:val="00455B9C"/>
    <w:rsid w:val="00456025"/>
    <w:rsid w:val="00456F50"/>
    <w:rsid w:val="00457021"/>
    <w:rsid w:val="004575F1"/>
    <w:rsid w:val="004577C0"/>
    <w:rsid w:val="00457AA6"/>
    <w:rsid w:val="00457AFB"/>
    <w:rsid w:val="00457B87"/>
    <w:rsid w:val="00460697"/>
    <w:rsid w:val="00460A0F"/>
    <w:rsid w:val="00460D17"/>
    <w:rsid w:val="00460DEB"/>
    <w:rsid w:val="0046107F"/>
    <w:rsid w:val="00461085"/>
    <w:rsid w:val="00461255"/>
    <w:rsid w:val="00461AEB"/>
    <w:rsid w:val="00461F8D"/>
    <w:rsid w:val="00462320"/>
    <w:rsid w:val="00462A2B"/>
    <w:rsid w:val="00462C72"/>
    <w:rsid w:val="00463562"/>
    <w:rsid w:val="00463F94"/>
    <w:rsid w:val="00464577"/>
    <w:rsid w:val="00464741"/>
    <w:rsid w:val="0046491E"/>
    <w:rsid w:val="0046496F"/>
    <w:rsid w:val="00465043"/>
    <w:rsid w:val="0046542B"/>
    <w:rsid w:val="00466564"/>
    <w:rsid w:val="00467684"/>
    <w:rsid w:val="0046790F"/>
    <w:rsid w:val="00467AC2"/>
    <w:rsid w:val="00467F9D"/>
    <w:rsid w:val="00467FDA"/>
    <w:rsid w:val="0047018E"/>
    <w:rsid w:val="00470317"/>
    <w:rsid w:val="0047066B"/>
    <w:rsid w:val="0047173F"/>
    <w:rsid w:val="0047178F"/>
    <w:rsid w:val="004717E8"/>
    <w:rsid w:val="00471810"/>
    <w:rsid w:val="00471F86"/>
    <w:rsid w:val="004726BB"/>
    <w:rsid w:val="00472C53"/>
    <w:rsid w:val="004730AE"/>
    <w:rsid w:val="00473AEB"/>
    <w:rsid w:val="004745DC"/>
    <w:rsid w:val="004745DD"/>
    <w:rsid w:val="00474DA4"/>
    <w:rsid w:val="004750BA"/>
    <w:rsid w:val="00476282"/>
    <w:rsid w:val="00477207"/>
    <w:rsid w:val="00477A61"/>
    <w:rsid w:val="0048019B"/>
    <w:rsid w:val="00480D7D"/>
    <w:rsid w:val="00481C37"/>
    <w:rsid w:val="00481D91"/>
    <w:rsid w:val="0048204B"/>
    <w:rsid w:val="00482810"/>
    <w:rsid w:val="00483141"/>
    <w:rsid w:val="004831CB"/>
    <w:rsid w:val="00483C95"/>
    <w:rsid w:val="0048495A"/>
    <w:rsid w:val="00484DE1"/>
    <w:rsid w:val="00484F95"/>
    <w:rsid w:val="004852F1"/>
    <w:rsid w:val="004854BD"/>
    <w:rsid w:val="00485BCE"/>
    <w:rsid w:val="00485FB8"/>
    <w:rsid w:val="0048669A"/>
    <w:rsid w:val="00486C81"/>
    <w:rsid w:val="00487F23"/>
    <w:rsid w:val="004908D4"/>
    <w:rsid w:val="00490D89"/>
    <w:rsid w:val="00490F1D"/>
    <w:rsid w:val="00490F3F"/>
    <w:rsid w:val="004919A2"/>
    <w:rsid w:val="00491C57"/>
    <w:rsid w:val="00491DF0"/>
    <w:rsid w:val="00492F14"/>
    <w:rsid w:val="004930E8"/>
    <w:rsid w:val="00495123"/>
    <w:rsid w:val="00495879"/>
    <w:rsid w:val="0049595A"/>
    <w:rsid w:val="00495B0B"/>
    <w:rsid w:val="004961EB"/>
    <w:rsid w:val="004A0164"/>
    <w:rsid w:val="004A07A9"/>
    <w:rsid w:val="004A13DD"/>
    <w:rsid w:val="004A1421"/>
    <w:rsid w:val="004A174B"/>
    <w:rsid w:val="004A18C9"/>
    <w:rsid w:val="004A1B96"/>
    <w:rsid w:val="004A2721"/>
    <w:rsid w:val="004A2E7C"/>
    <w:rsid w:val="004A3B75"/>
    <w:rsid w:val="004A4015"/>
    <w:rsid w:val="004A426F"/>
    <w:rsid w:val="004A47AD"/>
    <w:rsid w:val="004A498B"/>
    <w:rsid w:val="004A4ABA"/>
    <w:rsid w:val="004A4BD2"/>
    <w:rsid w:val="004A4D06"/>
    <w:rsid w:val="004A5B61"/>
    <w:rsid w:val="004A5BAE"/>
    <w:rsid w:val="004A5DEA"/>
    <w:rsid w:val="004A6C47"/>
    <w:rsid w:val="004A737B"/>
    <w:rsid w:val="004A7458"/>
    <w:rsid w:val="004A75DF"/>
    <w:rsid w:val="004A7631"/>
    <w:rsid w:val="004A7C9D"/>
    <w:rsid w:val="004B055C"/>
    <w:rsid w:val="004B10E5"/>
    <w:rsid w:val="004B12B8"/>
    <w:rsid w:val="004B1809"/>
    <w:rsid w:val="004B1B31"/>
    <w:rsid w:val="004B1DE7"/>
    <w:rsid w:val="004B20EE"/>
    <w:rsid w:val="004B21FA"/>
    <w:rsid w:val="004B2298"/>
    <w:rsid w:val="004B277C"/>
    <w:rsid w:val="004B368C"/>
    <w:rsid w:val="004B3FFB"/>
    <w:rsid w:val="004B4159"/>
    <w:rsid w:val="004B43E2"/>
    <w:rsid w:val="004B48F4"/>
    <w:rsid w:val="004B58DD"/>
    <w:rsid w:val="004B6315"/>
    <w:rsid w:val="004B632C"/>
    <w:rsid w:val="004B672A"/>
    <w:rsid w:val="004B6A92"/>
    <w:rsid w:val="004B6EE0"/>
    <w:rsid w:val="004B75CF"/>
    <w:rsid w:val="004B7C52"/>
    <w:rsid w:val="004B7C62"/>
    <w:rsid w:val="004B7FE3"/>
    <w:rsid w:val="004C0E5D"/>
    <w:rsid w:val="004C0EAA"/>
    <w:rsid w:val="004C12F3"/>
    <w:rsid w:val="004C18AF"/>
    <w:rsid w:val="004C1DA5"/>
    <w:rsid w:val="004C1DE6"/>
    <w:rsid w:val="004C1F92"/>
    <w:rsid w:val="004C2F8C"/>
    <w:rsid w:val="004C33B5"/>
    <w:rsid w:val="004C4C5B"/>
    <w:rsid w:val="004C4E16"/>
    <w:rsid w:val="004C54DD"/>
    <w:rsid w:val="004C5938"/>
    <w:rsid w:val="004C5B5F"/>
    <w:rsid w:val="004C5CA2"/>
    <w:rsid w:val="004C5E12"/>
    <w:rsid w:val="004C74C8"/>
    <w:rsid w:val="004D19B3"/>
    <w:rsid w:val="004D2313"/>
    <w:rsid w:val="004D2C53"/>
    <w:rsid w:val="004D3A68"/>
    <w:rsid w:val="004D407C"/>
    <w:rsid w:val="004D49D5"/>
    <w:rsid w:val="004D4E17"/>
    <w:rsid w:val="004D55BE"/>
    <w:rsid w:val="004D5FDC"/>
    <w:rsid w:val="004D622F"/>
    <w:rsid w:val="004D64D9"/>
    <w:rsid w:val="004D6C01"/>
    <w:rsid w:val="004D7CD0"/>
    <w:rsid w:val="004E0372"/>
    <w:rsid w:val="004E0991"/>
    <w:rsid w:val="004E0D4F"/>
    <w:rsid w:val="004E0E65"/>
    <w:rsid w:val="004E0FBB"/>
    <w:rsid w:val="004E1600"/>
    <w:rsid w:val="004E1E25"/>
    <w:rsid w:val="004E22C4"/>
    <w:rsid w:val="004E2B4B"/>
    <w:rsid w:val="004E3000"/>
    <w:rsid w:val="004E3037"/>
    <w:rsid w:val="004E3089"/>
    <w:rsid w:val="004E36CF"/>
    <w:rsid w:val="004E3CD8"/>
    <w:rsid w:val="004E4016"/>
    <w:rsid w:val="004E41D7"/>
    <w:rsid w:val="004E494D"/>
    <w:rsid w:val="004E50C7"/>
    <w:rsid w:val="004E50ED"/>
    <w:rsid w:val="004E573A"/>
    <w:rsid w:val="004E5C63"/>
    <w:rsid w:val="004E6250"/>
    <w:rsid w:val="004E62EF"/>
    <w:rsid w:val="004E6AE4"/>
    <w:rsid w:val="004E6F27"/>
    <w:rsid w:val="004E772A"/>
    <w:rsid w:val="004E7C29"/>
    <w:rsid w:val="004F0A7E"/>
    <w:rsid w:val="004F1AF1"/>
    <w:rsid w:val="004F1C4F"/>
    <w:rsid w:val="004F23EC"/>
    <w:rsid w:val="004F2CD3"/>
    <w:rsid w:val="004F31F7"/>
    <w:rsid w:val="004F3562"/>
    <w:rsid w:val="004F39BC"/>
    <w:rsid w:val="004F39D5"/>
    <w:rsid w:val="004F4079"/>
    <w:rsid w:val="004F4EAE"/>
    <w:rsid w:val="004F5D04"/>
    <w:rsid w:val="004F7A9B"/>
    <w:rsid w:val="004F7FF1"/>
    <w:rsid w:val="00500122"/>
    <w:rsid w:val="00500662"/>
    <w:rsid w:val="00501064"/>
    <w:rsid w:val="005010FC"/>
    <w:rsid w:val="00501958"/>
    <w:rsid w:val="00502518"/>
    <w:rsid w:val="00503011"/>
    <w:rsid w:val="00503076"/>
    <w:rsid w:val="005031D1"/>
    <w:rsid w:val="005036FF"/>
    <w:rsid w:val="0050386C"/>
    <w:rsid w:val="005050C7"/>
    <w:rsid w:val="00505264"/>
    <w:rsid w:val="00505C66"/>
    <w:rsid w:val="005064CB"/>
    <w:rsid w:val="00506502"/>
    <w:rsid w:val="00506B97"/>
    <w:rsid w:val="00507097"/>
    <w:rsid w:val="005078FB"/>
    <w:rsid w:val="00507EF7"/>
    <w:rsid w:val="00510176"/>
    <w:rsid w:val="0051053E"/>
    <w:rsid w:val="005111DE"/>
    <w:rsid w:val="005119BB"/>
    <w:rsid w:val="0051259E"/>
    <w:rsid w:val="0051265A"/>
    <w:rsid w:val="005135F0"/>
    <w:rsid w:val="00513A39"/>
    <w:rsid w:val="00513FBA"/>
    <w:rsid w:val="0051555D"/>
    <w:rsid w:val="00515C6A"/>
    <w:rsid w:val="005169D6"/>
    <w:rsid w:val="00516E11"/>
    <w:rsid w:val="00517251"/>
    <w:rsid w:val="0051785F"/>
    <w:rsid w:val="00517A9A"/>
    <w:rsid w:val="00517C54"/>
    <w:rsid w:val="00517D25"/>
    <w:rsid w:val="005203C2"/>
    <w:rsid w:val="00520680"/>
    <w:rsid w:val="00520ACC"/>
    <w:rsid w:val="00520B7C"/>
    <w:rsid w:val="00520F65"/>
    <w:rsid w:val="00521CE2"/>
    <w:rsid w:val="00522FC3"/>
    <w:rsid w:val="00523B2E"/>
    <w:rsid w:val="00523BE1"/>
    <w:rsid w:val="00523F5F"/>
    <w:rsid w:val="00525966"/>
    <w:rsid w:val="00525CB4"/>
    <w:rsid w:val="00525EAC"/>
    <w:rsid w:val="0052636D"/>
    <w:rsid w:val="005265D1"/>
    <w:rsid w:val="00526EC8"/>
    <w:rsid w:val="00527951"/>
    <w:rsid w:val="00530237"/>
    <w:rsid w:val="00530740"/>
    <w:rsid w:val="00531576"/>
    <w:rsid w:val="00531964"/>
    <w:rsid w:val="00531FC7"/>
    <w:rsid w:val="005321C8"/>
    <w:rsid w:val="00532839"/>
    <w:rsid w:val="00532935"/>
    <w:rsid w:val="00532D83"/>
    <w:rsid w:val="005338CA"/>
    <w:rsid w:val="00534A17"/>
    <w:rsid w:val="00534F64"/>
    <w:rsid w:val="005355B0"/>
    <w:rsid w:val="005357B9"/>
    <w:rsid w:val="005357C1"/>
    <w:rsid w:val="0053587C"/>
    <w:rsid w:val="00535AD9"/>
    <w:rsid w:val="00535B56"/>
    <w:rsid w:val="00535EE6"/>
    <w:rsid w:val="0053610C"/>
    <w:rsid w:val="0053643B"/>
    <w:rsid w:val="005366EC"/>
    <w:rsid w:val="005367D8"/>
    <w:rsid w:val="005368E8"/>
    <w:rsid w:val="0053699E"/>
    <w:rsid w:val="005371EB"/>
    <w:rsid w:val="005375E7"/>
    <w:rsid w:val="00540268"/>
    <w:rsid w:val="00540B33"/>
    <w:rsid w:val="0054113B"/>
    <w:rsid w:val="00541D10"/>
    <w:rsid w:val="005425B0"/>
    <w:rsid w:val="005433FB"/>
    <w:rsid w:val="00543C57"/>
    <w:rsid w:val="005442FB"/>
    <w:rsid w:val="00544657"/>
    <w:rsid w:val="00544BA0"/>
    <w:rsid w:val="00544F0B"/>
    <w:rsid w:val="005462E6"/>
    <w:rsid w:val="00546F27"/>
    <w:rsid w:val="005476EB"/>
    <w:rsid w:val="005506F7"/>
    <w:rsid w:val="00550F78"/>
    <w:rsid w:val="00551D32"/>
    <w:rsid w:val="00552157"/>
    <w:rsid w:val="00552F7F"/>
    <w:rsid w:val="005530B9"/>
    <w:rsid w:val="0055335D"/>
    <w:rsid w:val="0055337E"/>
    <w:rsid w:val="00553AC6"/>
    <w:rsid w:val="00554535"/>
    <w:rsid w:val="005547C4"/>
    <w:rsid w:val="00554A1D"/>
    <w:rsid w:val="00554BD7"/>
    <w:rsid w:val="00554C85"/>
    <w:rsid w:val="00554E48"/>
    <w:rsid w:val="00555B85"/>
    <w:rsid w:val="0055612E"/>
    <w:rsid w:val="00556B2D"/>
    <w:rsid w:val="00556FA4"/>
    <w:rsid w:val="00557011"/>
    <w:rsid w:val="00557E59"/>
    <w:rsid w:val="0056022F"/>
    <w:rsid w:val="00560306"/>
    <w:rsid w:val="00560859"/>
    <w:rsid w:val="0056097F"/>
    <w:rsid w:val="00560BDA"/>
    <w:rsid w:val="00560E73"/>
    <w:rsid w:val="00561CC8"/>
    <w:rsid w:val="005625DD"/>
    <w:rsid w:val="0056363A"/>
    <w:rsid w:val="005639AB"/>
    <w:rsid w:val="00564C0D"/>
    <w:rsid w:val="00564C2A"/>
    <w:rsid w:val="00565399"/>
    <w:rsid w:val="005653F2"/>
    <w:rsid w:val="00565882"/>
    <w:rsid w:val="00565B59"/>
    <w:rsid w:val="0056646C"/>
    <w:rsid w:val="005666BC"/>
    <w:rsid w:val="00566982"/>
    <w:rsid w:val="00566D57"/>
    <w:rsid w:val="0056778F"/>
    <w:rsid w:val="00567D31"/>
    <w:rsid w:val="005705FA"/>
    <w:rsid w:val="0057060B"/>
    <w:rsid w:val="00570932"/>
    <w:rsid w:val="0057133A"/>
    <w:rsid w:val="005713B8"/>
    <w:rsid w:val="0057152A"/>
    <w:rsid w:val="00571956"/>
    <w:rsid w:val="00571F02"/>
    <w:rsid w:val="005727AD"/>
    <w:rsid w:val="00574C2C"/>
    <w:rsid w:val="005751DF"/>
    <w:rsid w:val="00575538"/>
    <w:rsid w:val="00575619"/>
    <w:rsid w:val="005758D7"/>
    <w:rsid w:val="00576911"/>
    <w:rsid w:val="00576C00"/>
    <w:rsid w:val="00580000"/>
    <w:rsid w:val="00581D8C"/>
    <w:rsid w:val="00582F22"/>
    <w:rsid w:val="00583468"/>
    <w:rsid w:val="00583FC0"/>
    <w:rsid w:val="0058438D"/>
    <w:rsid w:val="00584797"/>
    <w:rsid w:val="00584923"/>
    <w:rsid w:val="00584B21"/>
    <w:rsid w:val="005850D9"/>
    <w:rsid w:val="00585431"/>
    <w:rsid w:val="005871D6"/>
    <w:rsid w:val="00587658"/>
    <w:rsid w:val="00587B71"/>
    <w:rsid w:val="005902D0"/>
    <w:rsid w:val="005903C9"/>
    <w:rsid w:val="005907B9"/>
    <w:rsid w:val="005909E1"/>
    <w:rsid w:val="00590BB1"/>
    <w:rsid w:val="00590CF2"/>
    <w:rsid w:val="00590DB3"/>
    <w:rsid w:val="00591064"/>
    <w:rsid w:val="0059125E"/>
    <w:rsid w:val="00591695"/>
    <w:rsid w:val="00591701"/>
    <w:rsid w:val="00591734"/>
    <w:rsid w:val="005918AF"/>
    <w:rsid w:val="00591A49"/>
    <w:rsid w:val="00591C06"/>
    <w:rsid w:val="00591EF9"/>
    <w:rsid w:val="00592CF9"/>
    <w:rsid w:val="00592D27"/>
    <w:rsid w:val="00593197"/>
    <w:rsid w:val="00593BB6"/>
    <w:rsid w:val="0059448C"/>
    <w:rsid w:val="005946C0"/>
    <w:rsid w:val="00594AB3"/>
    <w:rsid w:val="00594C9D"/>
    <w:rsid w:val="005952DF"/>
    <w:rsid w:val="0059530F"/>
    <w:rsid w:val="005968BD"/>
    <w:rsid w:val="00596C19"/>
    <w:rsid w:val="00597C1B"/>
    <w:rsid w:val="005A023D"/>
    <w:rsid w:val="005A1B49"/>
    <w:rsid w:val="005A40EE"/>
    <w:rsid w:val="005A412F"/>
    <w:rsid w:val="005A452F"/>
    <w:rsid w:val="005A48EE"/>
    <w:rsid w:val="005A4A6C"/>
    <w:rsid w:val="005A5BDB"/>
    <w:rsid w:val="005A62A0"/>
    <w:rsid w:val="005A62FC"/>
    <w:rsid w:val="005A6555"/>
    <w:rsid w:val="005A687F"/>
    <w:rsid w:val="005A7582"/>
    <w:rsid w:val="005A7A51"/>
    <w:rsid w:val="005A7BEB"/>
    <w:rsid w:val="005B0B87"/>
    <w:rsid w:val="005B124E"/>
    <w:rsid w:val="005B13C8"/>
    <w:rsid w:val="005B14D4"/>
    <w:rsid w:val="005B1E60"/>
    <w:rsid w:val="005B218D"/>
    <w:rsid w:val="005B253E"/>
    <w:rsid w:val="005B2C88"/>
    <w:rsid w:val="005B34A3"/>
    <w:rsid w:val="005B46C7"/>
    <w:rsid w:val="005B4A2D"/>
    <w:rsid w:val="005B4A62"/>
    <w:rsid w:val="005B4E8D"/>
    <w:rsid w:val="005B5989"/>
    <w:rsid w:val="005B62E0"/>
    <w:rsid w:val="005B6632"/>
    <w:rsid w:val="005B7160"/>
    <w:rsid w:val="005B7286"/>
    <w:rsid w:val="005B7D5B"/>
    <w:rsid w:val="005C05F0"/>
    <w:rsid w:val="005C0F45"/>
    <w:rsid w:val="005C10C3"/>
    <w:rsid w:val="005C1128"/>
    <w:rsid w:val="005C1279"/>
    <w:rsid w:val="005C14C1"/>
    <w:rsid w:val="005C1996"/>
    <w:rsid w:val="005C2A62"/>
    <w:rsid w:val="005C3140"/>
    <w:rsid w:val="005C3BDC"/>
    <w:rsid w:val="005C3BF0"/>
    <w:rsid w:val="005C422B"/>
    <w:rsid w:val="005C4593"/>
    <w:rsid w:val="005C46B9"/>
    <w:rsid w:val="005C49F2"/>
    <w:rsid w:val="005C4FFE"/>
    <w:rsid w:val="005C50C8"/>
    <w:rsid w:val="005C5A9B"/>
    <w:rsid w:val="005C5B62"/>
    <w:rsid w:val="005C6B9A"/>
    <w:rsid w:val="005C6CB1"/>
    <w:rsid w:val="005C6D43"/>
    <w:rsid w:val="005C74F2"/>
    <w:rsid w:val="005C7833"/>
    <w:rsid w:val="005C7A3F"/>
    <w:rsid w:val="005C7BA9"/>
    <w:rsid w:val="005C7DA8"/>
    <w:rsid w:val="005D09B8"/>
    <w:rsid w:val="005D0AB6"/>
    <w:rsid w:val="005D0FD1"/>
    <w:rsid w:val="005D2507"/>
    <w:rsid w:val="005D2B5C"/>
    <w:rsid w:val="005D2B9E"/>
    <w:rsid w:val="005D2DA9"/>
    <w:rsid w:val="005D3900"/>
    <w:rsid w:val="005D3E24"/>
    <w:rsid w:val="005D3F78"/>
    <w:rsid w:val="005D405A"/>
    <w:rsid w:val="005D44D5"/>
    <w:rsid w:val="005D4916"/>
    <w:rsid w:val="005D4AFD"/>
    <w:rsid w:val="005D4E50"/>
    <w:rsid w:val="005D64F0"/>
    <w:rsid w:val="005D65BF"/>
    <w:rsid w:val="005D69A4"/>
    <w:rsid w:val="005D6BBA"/>
    <w:rsid w:val="005D7D00"/>
    <w:rsid w:val="005E0008"/>
    <w:rsid w:val="005E0472"/>
    <w:rsid w:val="005E0A3E"/>
    <w:rsid w:val="005E0A93"/>
    <w:rsid w:val="005E0B19"/>
    <w:rsid w:val="005E0D47"/>
    <w:rsid w:val="005E13B1"/>
    <w:rsid w:val="005E1685"/>
    <w:rsid w:val="005E1777"/>
    <w:rsid w:val="005E3780"/>
    <w:rsid w:val="005E390B"/>
    <w:rsid w:val="005E39BA"/>
    <w:rsid w:val="005E3A51"/>
    <w:rsid w:val="005E435A"/>
    <w:rsid w:val="005E4C1C"/>
    <w:rsid w:val="005E4C20"/>
    <w:rsid w:val="005E4FE9"/>
    <w:rsid w:val="005E56D8"/>
    <w:rsid w:val="005E6F9D"/>
    <w:rsid w:val="005E7670"/>
    <w:rsid w:val="005E7827"/>
    <w:rsid w:val="005E7A5F"/>
    <w:rsid w:val="005E7BA5"/>
    <w:rsid w:val="005E7FF9"/>
    <w:rsid w:val="005F01D3"/>
    <w:rsid w:val="005F05ED"/>
    <w:rsid w:val="005F0B0C"/>
    <w:rsid w:val="005F0DF6"/>
    <w:rsid w:val="005F0ECF"/>
    <w:rsid w:val="005F13DF"/>
    <w:rsid w:val="005F16D0"/>
    <w:rsid w:val="005F187E"/>
    <w:rsid w:val="005F2A1F"/>
    <w:rsid w:val="005F375C"/>
    <w:rsid w:val="005F38EC"/>
    <w:rsid w:val="005F3A16"/>
    <w:rsid w:val="005F3B0B"/>
    <w:rsid w:val="005F4578"/>
    <w:rsid w:val="005F4752"/>
    <w:rsid w:val="005F48AA"/>
    <w:rsid w:val="005F65A3"/>
    <w:rsid w:val="005F686C"/>
    <w:rsid w:val="005F6B65"/>
    <w:rsid w:val="00600689"/>
    <w:rsid w:val="00600BE4"/>
    <w:rsid w:val="00600DBB"/>
    <w:rsid w:val="00601023"/>
    <w:rsid w:val="00601706"/>
    <w:rsid w:val="00601A90"/>
    <w:rsid w:val="00601EA1"/>
    <w:rsid w:val="006028C2"/>
    <w:rsid w:val="0060292D"/>
    <w:rsid w:val="00602B04"/>
    <w:rsid w:val="00602B25"/>
    <w:rsid w:val="00602ED9"/>
    <w:rsid w:val="00603B04"/>
    <w:rsid w:val="00603FC5"/>
    <w:rsid w:val="00604AF2"/>
    <w:rsid w:val="00605117"/>
    <w:rsid w:val="0060539A"/>
    <w:rsid w:val="00605837"/>
    <w:rsid w:val="00605CA9"/>
    <w:rsid w:val="0060613F"/>
    <w:rsid w:val="006061A3"/>
    <w:rsid w:val="006063EF"/>
    <w:rsid w:val="006067ED"/>
    <w:rsid w:val="006069EE"/>
    <w:rsid w:val="00606A55"/>
    <w:rsid w:val="006070EF"/>
    <w:rsid w:val="00607C53"/>
    <w:rsid w:val="00610320"/>
    <w:rsid w:val="00610611"/>
    <w:rsid w:val="00610E4B"/>
    <w:rsid w:val="00610F06"/>
    <w:rsid w:val="00611272"/>
    <w:rsid w:val="00611369"/>
    <w:rsid w:val="006115FC"/>
    <w:rsid w:val="00611627"/>
    <w:rsid w:val="00611665"/>
    <w:rsid w:val="00611987"/>
    <w:rsid w:val="00611D4D"/>
    <w:rsid w:val="00612159"/>
    <w:rsid w:val="006128DA"/>
    <w:rsid w:val="0061436A"/>
    <w:rsid w:val="006146B4"/>
    <w:rsid w:val="006148DA"/>
    <w:rsid w:val="00614FAE"/>
    <w:rsid w:val="00615911"/>
    <w:rsid w:val="00615F41"/>
    <w:rsid w:val="00616756"/>
    <w:rsid w:val="00616C0D"/>
    <w:rsid w:val="00616DE1"/>
    <w:rsid w:val="0061700F"/>
    <w:rsid w:val="0061729C"/>
    <w:rsid w:val="00617440"/>
    <w:rsid w:val="00620138"/>
    <w:rsid w:val="006203AD"/>
    <w:rsid w:val="00620D5A"/>
    <w:rsid w:val="00620E79"/>
    <w:rsid w:val="0062138A"/>
    <w:rsid w:val="00621530"/>
    <w:rsid w:val="0062168C"/>
    <w:rsid w:val="006216E5"/>
    <w:rsid w:val="00621B7E"/>
    <w:rsid w:val="0062211B"/>
    <w:rsid w:val="00622711"/>
    <w:rsid w:val="0062334A"/>
    <w:rsid w:val="00623FA6"/>
    <w:rsid w:val="0062494C"/>
    <w:rsid w:val="00624DFF"/>
    <w:rsid w:val="00624FDA"/>
    <w:rsid w:val="00625035"/>
    <w:rsid w:val="00625740"/>
    <w:rsid w:val="0063055F"/>
    <w:rsid w:val="00630686"/>
    <w:rsid w:val="00630BD1"/>
    <w:rsid w:val="006311B7"/>
    <w:rsid w:val="006321F3"/>
    <w:rsid w:val="00632A45"/>
    <w:rsid w:val="0063333B"/>
    <w:rsid w:val="00633A56"/>
    <w:rsid w:val="00634017"/>
    <w:rsid w:val="006346CB"/>
    <w:rsid w:val="00634BB4"/>
    <w:rsid w:val="006354C7"/>
    <w:rsid w:val="00636154"/>
    <w:rsid w:val="00636903"/>
    <w:rsid w:val="00636C29"/>
    <w:rsid w:val="00636E1C"/>
    <w:rsid w:val="006375A9"/>
    <w:rsid w:val="006401AF"/>
    <w:rsid w:val="0064047D"/>
    <w:rsid w:val="006404F9"/>
    <w:rsid w:val="006410CA"/>
    <w:rsid w:val="0064112B"/>
    <w:rsid w:val="0064160C"/>
    <w:rsid w:val="0064251C"/>
    <w:rsid w:val="00642E7A"/>
    <w:rsid w:val="00643137"/>
    <w:rsid w:val="00643859"/>
    <w:rsid w:val="00643D10"/>
    <w:rsid w:val="006445F8"/>
    <w:rsid w:val="006450BD"/>
    <w:rsid w:val="006452BE"/>
    <w:rsid w:val="00645691"/>
    <w:rsid w:val="00645CC1"/>
    <w:rsid w:val="00646214"/>
    <w:rsid w:val="00646433"/>
    <w:rsid w:val="00646514"/>
    <w:rsid w:val="006466CC"/>
    <w:rsid w:val="00646E50"/>
    <w:rsid w:val="00647825"/>
    <w:rsid w:val="00647AD2"/>
    <w:rsid w:val="00647E48"/>
    <w:rsid w:val="006501EF"/>
    <w:rsid w:val="00650979"/>
    <w:rsid w:val="00650B92"/>
    <w:rsid w:val="006513E1"/>
    <w:rsid w:val="00651499"/>
    <w:rsid w:val="0065195F"/>
    <w:rsid w:val="006519AF"/>
    <w:rsid w:val="0065241E"/>
    <w:rsid w:val="00653B05"/>
    <w:rsid w:val="006542BB"/>
    <w:rsid w:val="00654317"/>
    <w:rsid w:val="00654E59"/>
    <w:rsid w:val="00654F00"/>
    <w:rsid w:val="0065570E"/>
    <w:rsid w:val="00655A53"/>
    <w:rsid w:val="006568C6"/>
    <w:rsid w:val="00657E55"/>
    <w:rsid w:val="006605F1"/>
    <w:rsid w:val="0066096C"/>
    <w:rsid w:val="00660BAA"/>
    <w:rsid w:val="00660D43"/>
    <w:rsid w:val="006613BB"/>
    <w:rsid w:val="0066147D"/>
    <w:rsid w:val="00661638"/>
    <w:rsid w:val="00661850"/>
    <w:rsid w:val="00661B85"/>
    <w:rsid w:val="00662279"/>
    <w:rsid w:val="00663821"/>
    <w:rsid w:val="00663884"/>
    <w:rsid w:val="00664027"/>
    <w:rsid w:val="00664343"/>
    <w:rsid w:val="00664A4D"/>
    <w:rsid w:val="006655BD"/>
    <w:rsid w:val="006657CE"/>
    <w:rsid w:val="0066592B"/>
    <w:rsid w:val="0066645C"/>
    <w:rsid w:val="00666B04"/>
    <w:rsid w:val="00666B3B"/>
    <w:rsid w:val="006675D1"/>
    <w:rsid w:val="006679D6"/>
    <w:rsid w:val="00670032"/>
    <w:rsid w:val="00670222"/>
    <w:rsid w:val="006706A0"/>
    <w:rsid w:val="00671A94"/>
    <w:rsid w:val="00671B2F"/>
    <w:rsid w:val="006724B9"/>
    <w:rsid w:val="00672E89"/>
    <w:rsid w:val="00673A5E"/>
    <w:rsid w:val="00673D25"/>
    <w:rsid w:val="00674D6F"/>
    <w:rsid w:val="00674E34"/>
    <w:rsid w:val="0067555C"/>
    <w:rsid w:val="006759D6"/>
    <w:rsid w:val="00675F25"/>
    <w:rsid w:val="006760B7"/>
    <w:rsid w:val="006764D4"/>
    <w:rsid w:val="00676843"/>
    <w:rsid w:val="00676A59"/>
    <w:rsid w:val="006776C3"/>
    <w:rsid w:val="0067780F"/>
    <w:rsid w:val="00677842"/>
    <w:rsid w:val="0068050F"/>
    <w:rsid w:val="006807CF"/>
    <w:rsid w:val="00680BA5"/>
    <w:rsid w:val="00681A6F"/>
    <w:rsid w:val="00681FD6"/>
    <w:rsid w:val="00682BAB"/>
    <w:rsid w:val="00682C1D"/>
    <w:rsid w:val="00682C8B"/>
    <w:rsid w:val="006832BA"/>
    <w:rsid w:val="00683F65"/>
    <w:rsid w:val="006842AF"/>
    <w:rsid w:val="00684425"/>
    <w:rsid w:val="006856DA"/>
    <w:rsid w:val="006857A2"/>
    <w:rsid w:val="0068638D"/>
    <w:rsid w:val="006864E5"/>
    <w:rsid w:val="006868A7"/>
    <w:rsid w:val="00686B66"/>
    <w:rsid w:val="00686D2E"/>
    <w:rsid w:val="00686FB0"/>
    <w:rsid w:val="00687AAF"/>
    <w:rsid w:val="00687CD4"/>
    <w:rsid w:val="00687DF7"/>
    <w:rsid w:val="00690066"/>
    <w:rsid w:val="00690966"/>
    <w:rsid w:val="00690968"/>
    <w:rsid w:val="00690C7A"/>
    <w:rsid w:val="00690DE4"/>
    <w:rsid w:val="0069135B"/>
    <w:rsid w:val="00691D0B"/>
    <w:rsid w:val="006920AA"/>
    <w:rsid w:val="00692190"/>
    <w:rsid w:val="00692202"/>
    <w:rsid w:val="00692947"/>
    <w:rsid w:val="00692967"/>
    <w:rsid w:val="00692E46"/>
    <w:rsid w:val="00692ED8"/>
    <w:rsid w:val="006933BB"/>
    <w:rsid w:val="006935AC"/>
    <w:rsid w:val="006939D9"/>
    <w:rsid w:val="00694474"/>
    <w:rsid w:val="00694B11"/>
    <w:rsid w:val="00694FB2"/>
    <w:rsid w:val="00695051"/>
    <w:rsid w:val="006960C3"/>
    <w:rsid w:val="006968F7"/>
    <w:rsid w:val="00696CC2"/>
    <w:rsid w:val="0069725D"/>
    <w:rsid w:val="00697BB5"/>
    <w:rsid w:val="00697BE5"/>
    <w:rsid w:val="006A07D8"/>
    <w:rsid w:val="006A0B5B"/>
    <w:rsid w:val="006A0CC4"/>
    <w:rsid w:val="006A10EA"/>
    <w:rsid w:val="006A1378"/>
    <w:rsid w:val="006A15A8"/>
    <w:rsid w:val="006A1B8D"/>
    <w:rsid w:val="006A2246"/>
    <w:rsid w:val="006A32AE"/>
    <w:rsid w:val="006A37A5"/>
    <w:rsid w:val="006A3A46"/>
    <w:rsid w:val="006A4365"/>
    <w:rsid w:val="006A56FC"/>
    <w:rsid w:val="006A5AC8"/>
    <w:rsid w:val="006A5C49"/>
    <w:rsid w:val="006B021E"/>
    <w:rsid w:val="006B04E4"/>
    <w:rsid w:val="006B0B01"/>
    <w:rsid w:val="006B0D9B"/>
    <w:rsid w:val="006B0FE0"/>
    <w:rsid w:val="006B21B0"/>
    <w:rsid w:val="006B25C3"/>
    <w:rsid w:val="006B27B2"/>
    <w:rsid w:val="006B2C64"/>
    <w:rsid w:val="006B2CBD"/>
    <w:rsid w:val="006B2D13"/>
    <w:rsid w:val="006B398A"/>
    <w:rsid w:val="006B3DD3"/>
    <w:rsid w:val="006B4733"/>
    <w:rsid w:val="006B4CEB"/>
    <w:rsid w:val="006B4E67"/>
    <w:rsid w:val="006B5226"/>
    <w:rsid w:val="006B5630"/>
    <w:rsid w:val="006B5783"/>
    <w:rsid w:val="006B5A0F"/>
    <w:rsid w:val="006B5F4B"/>
    <w:rsid w:val="006B5FD5"/>
    <w:rsid w:val="006B6617"/>
    <w:rsid w:val="006B667B"/>
    <w:rsid w:val="006B6904"/>
    <w:rsid w:val="006B6CB3"/>
    <w:rsid w:val="006B788C"/>
    <w:rsid w:val="006B7C9E"/>
    <w:rsid w:val="006B7F60"/>
    <w:rsid w:val="006C0517"/>
    <w:rsid w:val="006C05AC"/>
    <w:rsid w:val="006C0DA4"/>
    <w:rsid w:val="006C1ED3"/>
    <w:rsid w:val="006C22AD"/>
    <w:rsid w:val="006C22CA"/>
    <w:rsid w:val="006C2648"/>
    <w:rsid w:val="006C26A0"/>
    <w:rsid w:val="006C2AB3"/>
    <w:rsid w:val="006C2E63"/>
    <w:rsid w:val="006C2FD5"/>
    <w:rsid w:val="006C4AD6"/>
    <w:rsid w:val="006C4BBD"/>
    <w:rsid w:val="006C4E7C"/>
    <w:rsid w:val="006C4ECC"/>
    <w:rsid w:val="006C5A04"/>
    <w:rsid w:val="006C5BC8"/>
    <w:rsid w:val="006C5D5B"/>
    <w:rsid w:val="006C64D5"/>
    <w:rsid w:val="006C6598"/>
    <w:rsid w:val="006C6CC5"/>
    <w:rsid w:val="006C6F04"/>
    <w:rsid w:val="006C7136"/>
    <w:rsid w:val="006C7B98"/>
    <w:rsid w:val="006D0EF9"/>
    <w:rsid w:val="006D1044"/>
    <w:rsid w:val="006D12D3"/>
    <w:rsid w:val="006D181A"/>
    <w:rsid w:val="006D1EA9"/>
    <w:rsid w:val="006D1F5C"/>
    <w:rsid w:val="006D243B"/>
    <w:rsid w:val="006D3963"/>
    <w:rsid w:val="006D3C5E"/>
    <w:rsid w:val="006D48CE"/>
    <w:rsid w:val="006D48EB"/>
    <w:rsid w:val="006D54C5"/>
    <w:rsid w:val="006D570A"/>
    <w:rsid w:val="006D58BA"/>
    <w:rsid w:val="006D5AD2"/>
    <w:rsid w:val="006D5FF1"/>
    <w:rsid w:val="006D7131"/>
    <w:rsid w:val="006D76C5"/>
    <w:rsid w:val="006D78DD"/>
    <w:rsid w:val="006D7DF5"/>
    <w:rsid w:val="006E02F1"/>
    <w:rsid w:val="006E0345"/>
    <w:rsid w:val="006E04BC"/>
    <w:rsid w:val="006E07C4"/>
    <w:rsid w:val="006E0882"/>
    <w:rsid w:val="006E11B8"/>
    <w:rsid w:val="006E1442"/>
    <w:rsid w:val="006E1949"/>
    <w:rsid w:val="006E19F8"/>
    <w:rsid w:val="006E23F8"/>
    <w:rsid w:val="006E24BA"/>
    <w:rsid w:val="006E3289"/>
    <w:rsid w:val="006E4850"/>
    <w:rsid w:val="006E548B"/>
    <w:rsid w:val="006E580B"/>
    <w:rsid w:val="006E5920"/>
    <w:rsid w:val="006E5B26"/>
    <w:rsid w:val="006E62BD"/>
    <w:rsid w:val="006E63B5"/>
    <w:rsid w:val="006E666A"/>
    <w:rsid w:val="006E6891"/>
    <w:rsid w:val="006E6DAA"/>
    <w:rsid w:val="006E72A7"/>
    <w:rsid w:val="006E747D"/>
    <w:rsid w:val="006E752F"/>
    <w:rsid w:val="006E762C"/>
    <w:rsid w:val="006E792A"/>
    <w:rsid w:val="006F0054"/>
    <w:rsid w:val="006F0F85"/>
    <w:rsid w:val="006F1AC0"/>
    <w:rsid w:val="006F23DE"/>
    <w:rsid w:val="006F2F5F"/>
    <w:rsid w:val="006F33B6"/>
    <w:rsid w:val="006F38F2"/>
    <w:rsid w:val="006F3A80"/>
    <w:rsid w:val="006F439E"/>
    <w:rsid w:val="006F4C32"/>
    <w:rsid w:val="006F5219"/>
    <w:rsid w:val="006F56CF"/>
    <w:rsid w:val="006F6696"/>
    <w:rsid w:val="006F7132"/>
    <w:rsid w:val="006F7621"/>
    <w:rsid w:val="006F7FB7"/>
    <w:rsid w:val="00700156"/>
    <w:rsid w:val="007001F9"/>
    <w:rsid w:val="007006AB"/>
    <w:rsid w:val="00701E73"/>
    <w:rsid w:val="00701F6C"/>
    <w:rsid w:val="00702196"/>
    <w:rsid w:val="0070232E"/>
    <w:rsid w:val="00702881"/>
    <w:rsid w:val="00702952"/>
    <w:rsid w:val="00703015"/>
    <w:rsid w:val="0070310C"/>
    <w:rsid w:val="0070321E"/>
    <w:rsid w:val="007036D7"/>
    <w:rsid w:val="00704459"/>
    <w:rsid w:val="00704785"/>
    <w:rsid w:val="00705224"/>
    <w:rsid w:val="007058EC"/>
    <w:rsid w:val="0070696A"/>
    <w:rsid w:val="00706F9D"/>
    <w:rsid w:val="0070704F"/>
    <w:rsid w:val="00707139"/>
    <w:rsid w:val="00707AA8"/>
    <w:rsid w:val="00707ACD"/>
    <w:rsid w:val="00707EDA"/>
    <w:rsid w:val="0071057D"/>
    <w:rsid w:val="00710719"/>
    <w:rsid w:val="00710874"/>
    <w:rsid w:val="00711034"/>
    <w:rsid w:val="00711C94"/>
    <w:rsid w:val="007121C0"/>
    <w:rsid w:val="007126BC"/>
    <w:rsid w:val="00712931"/>
    <w:rsid w:val="00712C38"/>
    <w:rsid w:val="00712DED"/>
    <w:rsid w:val="007132F1"/>
    <w:rsid w:val="0071356A"/>
    <w:rsid w:val="00713BD1"/>
    <w:rsid w:val="00713FE1"/>
    <w:rsid w:val="00714037"/>
    <w:rsid w:val="0071434B"/>
    <w:rsid w:val="0071442B"/>
    <w:rsid w:val="00714999"/>
    <w:rsid w:val="00715060"/>
    <w:rsid w:val="00715484"/>
    <w:rsid w:val="007156A7"/>
    <w:rsid w:val="00715764"/>
    <w:rsid w:val="00715A60"/>
    <w:rsid w:val="00715AAE"/>
    <w:rsid w:val="00716086"/>
    <w:rsid w:val="00716452"/>
    <w:rsid w:val="0071669B"/>
    <w:rsid w:val="007168A5"/>
    <w:rsid w:val="00716F1E"/>
    <w:rsid w:val="00716FE4"/>
    <w:rsid w:val="00717D92"/>
    <w:rsid w:val="00720009"/>
    <w:rsid w:val="00720081"/>
    <w:rsid w:val="0072294A"/>
    <w:rsid w:val="00722DC1"/>
    <w:rsid w:val="00723B1D"/>
    <w:rsid w:val="00725257"/>
    <w:rsid w:val="0072589D"/>
    <w:rsid w:val="0072593F"/>
    <w:rsid w:val="00725AA7"/>
    <w:rsid w:val="00725AF9"/>
    <w:rsid w:val="00726179"/>
    <w:rsid w:val="00727298"/>
    <w:rsid w:val="0072743E"/>
    <w:rsid w:val="00727DE7"/>
    <w:rsid w:val="007304BF"/>
    <w:rsid w:val="00730B03"/>
    <w:rsid w:val="00730D7C"/>
    <w:rsid w:val="00730E07"/>
    <w:rsid w:val="00730E1E"/>
    <w:rsid w:val="00731244"/>
    <w:rsid w:val="00731B37"/>
    <w:rsid w:val="00731DE3"/>
    <w:rsid w:val="00731FB5"/>
    <w:rsid w:val="007324A7"/>
    <w:rsid w:val="007326DE"/>
    <w:rsid w:val="00733002"/>
    <w:rsid w:val="0073366F"/>
    <w:rsid w:val="007347A4"/>
    <w:rsid w:val="00734F81"/>
    <w:rsid w:val="0073611A"/>
    <w:rsid w:val="007365E5"/>
    <w:rsid w:val="0073669A"/>
    <w:rsid w:val="00736E24"/>
    <w:rsid w:val="007370B6"/>
    <w:rsid w:val="00737617"/>
    <w:rsid w:val="007378E5"/>
    <w:rsid w:val="00740419"/>
    <w:rsid w:val="007404AD"/>
    <w:rsid w:val="007404EF"/>
    <w:rsid w:val="00740E41"/>
    <w:rsid w:val="0074132F"/>
    <w:rsid w:val="00741867"/>
    <w:rsid w:val="00741A5F"/>
    <w:rsid w:val="00741AC9"/>
    <w:rsid w:val="00741F84"/>
    <w:rsid w:val="0074239E"/>
    <w:rsid w:val="00742537"/>
    <w:rsid w:val="00742594"/>
    <w:rsid w:val="00742823"/>
    <w:rsid w:val="00742DF8"/>
    <w:rsid w:val="00742EC4"/>
    <w:rsid w:val="00743648"/>
    <w:rsid w:val="00744305"/>
    <w:rsid w:val="00744440"/>
    <w:rsid w:val="007446EB"/>
    <w:rsid w:val="00744B00"/>
    <w:rsid w:val="00744C2E"/>
    <w:rsid w:val="007450D3"/>
    <w:rsid w:val="00745B6F"/>
    <w:rsid w:val="007463E6"/>
    <w:rsid w:val="00746539"/>
    <w:rsid w:val="00746ADD"/>
    <w:rsid w:val="00746D59"/>
    <w:rsid w:val="00747772"/>
    <w:rsid w:val="00747B58"/>
    <w:rsid w:val="00747C44"/>
    <w:rsid w:val="00747CF0"/>
    <w:rsid w:val="00747D06"/>
    <w:rsid w:val="00750190"/>
    <w:rsid w:val="00750604"/>
    <w:rsid w:val="00750843"/>
    <w:rsid w:val="00750B85"/>
    <w:rsid w:val="007515F3"/>
    <w:rsid w:val="007518EB"/>
    <w:rsid w:val="00752120"/>
    <w:rsid w:val="00752347"/>
    <w:rsid w:val="007528D1"/>
    <w:rsid w:val="00752F39"/>
    <w:rsid w:val="0075345A"/>
    <w:rsid w:val="00753B88"/>
    <w:rsid w:val="00754326"/>
    <w:rsid w:val="00754995"/>
    <w:rsid w:val="00754D1E"/>
    <w:rsid w:val="00754F69"/>
    <w:rsid w:val="00755589"/>
    <w:rsid w:val="00755C5C"/>
    <w:rsid w:val="007560DA"/>
    <w:rsid w:val="0075633A"/>
    <w:rsid w:val="00756863"/>
    <w:rsid w:val="00756CC7"/>
    <w:rsid w:val="007601EB"/>
    <w:rsid w:val="00760A13"/>
    <w:rsid w:val="00760B11"/>
    <w:rsid w:val="00760BAA"/>
    <w:rsid w:val="00760D7A"/>
    <w:rsid w:val="007613FC"/>
    <w:rsid w:val="00761ADA"/>
    <w:rsid w:val="00762456"/>
    <w:rsid w:val="007624B9"/>
    <w:rsid w:val="00762525"/>
    <w:rsid w:val="007625E2"/>
    <w:rsid w:val="007625FE"/>
    <w:rsid w:val="00762C3C"/>
    <w:rsid w:val="00762CBB"/>
    <w:rsid w:val="00763236"/>
    <w:rsid w:val="00764139"/>
    <w:rsid w:val="0076486F"/>
    <w:rsid w:val="007655A7"/>
    <w:rsid w:val="00765722"/>
    <w:rsid w:val="0076634B"/>
    <w:rsid w:val="00766494"/>
    <w:rsid w:val="007664CB"/>
    <w:rsid w:val="00766988"/>
    <w:rsid w:val="00766C16"/>
    <w:rsid w:val="00767739"/>
    <w:rsid w:val="0076779F"/>
    <w:rsid w:val="007703AC"/>
    <w:rsid w:val="00770A4D"/>
    <w:rsid w:val="00770A82"/>
    <w:rsid w:val="007720C4"/>
    <w:rsid w:val="007720F1"/>
    <w:rsid w:val="00772435"/>
    <w:rsid w:val="00772769"/>
    <w:rsid w:val="00772A7D"/>
    <w:rsid w:val="00772A88"/>
    <w:rsid w:val="00773100"/>
    <w:rsid w:val="00773127"/>
    <w:rsid w:val="00773661"/>
    <w:rsid w:val="00773E8C"/>
    <w:rsid w:val="00773F97"/>
    <w:rsid w:val="00774525"/>
    <w:rsid w:val="00774808"/>
    <w:rsid w:val="00774F30"/>
    <w:rsid w:val="0077513A"/>
    <w:rsid w:val="00775167"/>
    <w:rsid w:val="007752CA"/>
    <w:rsid w:val="00775389"/>
    <w:rsid w:val="007765D8"/>
    <w:rsid w:val="007773B9"/>
    <w:rsid w:val="00777486"/>
    <w:rsid w:val="00777770"/>
    <w:rsid w:val="0078091D"/>
    <w:rsid w:val="00780957"/>
    <w:rsid w:val="00780B95"/>
    <w:rsid w:val="007812E4"/>
    <w:rsid w:val="007815A8"/>
    <w:rsid w:val="00781644"/>
    <w:rsid w:val="007817A2"/>
    <w:rsid w:val="00781B08"/>
    <w:rsid w:val="00781D3E"/>
    <w:rsid w:val="00781E0A"/>
    <w:rsid w:val="00782169"/>
    <w:rsid w:val="00782560"/>
    <w:rsid w:val="00782A9C"/>
    <w:rsid w:val="00782BE8"/>
    <w:rsid w:val="00783135"/>
    <w:rsid w:val="007832DD"/>
    <w:rsid w:val="00783460"/>
    <w:rsid w:val="00783849"/>
    <w:rsid w:val="0078428C"/>
    <w:rsid w:val="0078433D"/>
    <w:rsid w:val="007847B2"/>
    <w:rsid w:val="0078488C"/>
    <w:rsid w:val="00785439"/>
    <w:rsid w:val="00785451"/>
    <w:rsid w:val="007856D0"/>
    <w:rsid w:val="007867DD"/>
    <w:rsid w:val="0078681E"/>
    <w:rsid w:val="00786AC4"/>
    <w:rsid w:val="00786D23"/>
    <w:rsid w:val="00787311"/>
    <w:rsid w:val="00790087"/>
    <w:rsid w:val="00790285"/>
    <w:rsid w:val="007903BA"/>
    <w:rsid w:val="007907B1"/>
    <w:rsid w:val="007910E2"/>
    <w:rsid w:val="007911E3"/>
    <w:rsid w:val="0079196F"/>
    <w:rsid w:val="00791F4B"/>
    <w:rsid w:val="00792203"/>
    <w:rsid w:val="00792301"/>
    <w:rsid w:val="00792AC0"/>
    <w:rsid w:val="0079308F"/>
    <w:rsid w:val="00793E9B"/>
    <w:rsid w:val="00794000"/>
    <w:rsid w:val="00794BEB"/>
    <w:rsid w:val="00794DF6"/>
    <w:rsid w:val="0079530C"/>
    <w:rsid w:val="00795683"/>
    <w:rsid w:val="007957F5"/>
    <w:rsid w:val="00795B45"/>
    <w:rsid w:val="00797294"/>
    <w:rsid w:val="0079772C"/>
    <w:rsid w:val="00797EB0"/>
    <w:rsid w:val="007A04CD"/>
    <w:rsid w:val="007A0803"/>
    <w:rsid w:val="007A0A2A"/>
    <w:rsid w:val="007A0ADB"/>
    <w:rsid w:val="007A0E00"/>
    <w:rsid w:val="007A0EE9"/>
    <w:rsid w:val="007A115B"/>
    <w:rsid w:val="007A11A7"/>
    <w:rsid w:val="007A17B7"/>
    <w:rsid w:val="007A1C6F"/>
    <w:rsid w:val="007A29B3"/>
    <w:rsid w:val="007A313B"/>
    <w:rsid w:val="007A3151"/>
    <w:rsid w:val="007A3680"/>
    <w:rsid w:val="007A3926"/>
    <w:rsid w:val="007A398B"/>
    <w:rsid w:val="007A3B1D"/>
    <w:rsid w:val="007A441B"/>
    <w:rsid w:val="007A45E1"/>
    <w:rsid w:val="007A4B65"/>
    <w:rsid w:val="007A5087"/>
    <w:rsid w:val="007A54DF"/>
    <w:rsid w:val="007A5910"/>
    <w:rsid w:val="007A5EAF"/>
    <w:rsid w:val="007A65AD"/>
    <w:rsid w:val="007A660A"/>
    <w:rsid w:val="007A70FB"/>
    <w:rsid w:val="007A7C7B"/>
    <w:rsid w:val="007A7FF2"/>
    <w:rsid w:val="007B08F9"/>
    <w:rsid w:val="007B09B2"/>
    <w:rsid w:val="007B0A26"/>
    <w:rsid w:val="007B1BD6"/>
    <w:rsid w:val="007B2571"/>
    <w:rsid w:val="007B46BB"/>
    <w:rsid w:val="007B4CDD"/>
    <w:rsid w:val="007B5997"/>
    <w:rsid w:val="007B5D43"/>
    <w:rsid w:val="007B63CB"/>
    <w:rsid w:val="007B7004"/>
    <w:rsid w:val="007B721D"/>
    <w:rsid w:val="007C00F8"/>
    <w:rsid w:val="007C0C61"/>
    <w:rsid w:val="007C0E8A"/>
    <w:rsid w:val="007C1008"/>
    <w:rsid w:val="007C1118"/>
    <w:rsid w:val="007C19C8"/>
    <w:rsid w:val="007C2089"/>
    <w:rsid w:val="007C25B9"/>
    <w:rsid w:val="007C2970"/>
    <w:rsid w:val="007C2A6F"/>
    <w:rsid w:val="007C30D3"/>
    <w:rsid w:val="007C4E0F"/>
    <w:rsid w:val="007C54BC"/>
    <w:rsid w:val="007C54F2"/>
    <w:rsid w:val="007C56C2"/>
    <w:rsid w:val="007C5A75"/>
    <w:rsid w:val="007C6732"/>
    <w:rsid w:val="007C7110"/>
    <w:rsid w:val="007C7369"/>
    <w:rsid w:val="007D04F5"/>
    <w:rsid w:val="007D0983"/>
    <w:rsid w:val="007D0FFC"/>
    <w:rsid w:val="007D1065"/>
    <w:rsid w:val="007D27B8"/>
    <w:rsid w:val="007D2FE3"/>
    <w:rsid w:val="007D4917"/>
    <w:rsid w:val="007D53D3"/>
    <w:rsid w:val="007D5FD9"/>
    <w:rsid w:val="007D6150"/>
    <w:rsid w:val="007D61F9"/>
    <w:rsid w:val="007D79C4"/>
    <w:rsid w:val="007E03CD"/>
    <w:rsid w:val="007E0416"/>
    <w:rsid w:val="007E0914"/>
    <w:rsid w:val="007E0B3D"/>
    <w:rsid w:val="007E1796"/>
    <w:rsid w:val="007E22DC"/>
    <w:rsid w:val="007E2350"/>
    <w:rsid w:val="007E257C"/>
    <w:rsid w:val="007E29E4"/>
    <w:rsid w:val="007E2F7D"/>
    <w:rsid w:val="007E33E0"/>
    <w:rsid w:val="007E4C0A"/>
    <w:rsid w:val="007E5ABD"/>
    <w:rsid w:val="007E750F"/>
    <w:rsid w:val="007F0DCE"/>
    <w:rsid w:val="007F1915"/>
    <w:rsid w:val="007F214A"/>
    <w:rsid w:val="007F31D8"/>
    <w:rsid w:val="007F366D"/>
    <w:rsid w:val="007F38DC"/>
    <w:rsid w:val="007F3CEC"/>
    <w:rsid w:val="007F4104"/>
    <w:rsid w:val="007F42A4"/>
    <w:rsid w:val="007F43C7"/>
    <w:rsid w:val="007F4836"/>
    <w:rsid w:val="007F4C6C"/>
    <w:rsid w:val="007F5125"/>
    <w:rsid w:val="007F584A"/>
    <w:rsid w:val="007F6A41"/>
    <w:rsid w:val="007F7619"/>
    <w:rsid w:val="007F7D35"/>
    <w:rsid w:val="0080029E"/>
    <w:rsid w:val="00800463"/>
    <w:rsid w:val="00801C70"/>
    <w:rsid w:val="00802376"/>
    <w:rsid w:val="0080263D"/>
    <w:rsid w:val="00803309"/>
    <w:rsid w:val="008039A0"/>
    <w:rsid w:val="00803C95"/>
    <w:rsid w:val="00803EB7"/>
    <w:rsid w:val="00804AF5"/>
    <w:rsid w:val="0080501F"/>
    <w:rsid w:val="0080520D"/>
    <w:rsid w:val="00805A12"/>
    <w:rsid w:val="00805CB4"/>
    <w:rsid w:val="0080613E"/>
    <w:rsid w:val="008063BB"/>
    <w:rsid w:val="00806653"/>
    <w:rsid w:val="00807DD1"/>
    <w:rsid w:val="0081035E"/>
    <w:rsid w:val="00810BDF"/>
    <w:rsid w:val="00810EB5"/>
    <w:rsid w:val="0081115D"/>
    <w:rsid w:val="008111A5"/>
    <w:rsid w:val="00811FBD"/>
    <w:rsid w:val="008124C7"/>
    <w:rsid w:val="00813FF8"/>
    <w:rsid w:val="0081469D"/>
    <w:rsid w:val="00814799"/>
    <w:rsid w:val="00814940"/>
    <w:rsid w:val="00814A91"/>
    <w:rsid w:val="00814F30"/>
    <w:rsid w:val="00814FF0"/>
    <w:rsid w:val="00815145"/>
    <w:rsid w:val="008158B6"/>
    <w:rsid w:val="008159D7"/>
    <w:rsid w:val="00815B64"/>
    <w:rsid w:val="008163DB"/>
    <w:rsid w:val="0081650E"/>
    <w:rsid w:val="00816A90"/>
    <w:rsid w:val="00817890"/>
    <w:rsid w:val="00820608"/>
    <w:rsid w:val="00820629"/>
    <w:rsid w:val="0082135C"/>
    <w:rsid w:val="008218E4"/>
    <w:rsid w:val="008219FC"/>
    <w:rsid w:val="00821AA6"/>
    <w:rsid w:val="00822157"/>
    <w:rsid w:val="0082237A"/>
    <w:rsid w:val="00822AA4"/>
    <w:rsid w:val="0082327B"/>
    <w:rsid w:val="0082443C"/>
    <w:rsid w:val="00824A44"/>
    <w:rsid w:val="00824AEF"/>
    <w:rsid w:val="00824D8C"/>
    <w:rsid w:val="00826157"/>
    <w:rsid w:val="008262A7"/>
    <w:rsid w:val="00826749"/>
    <w:rsid w:val="00826AB5"/>
    <w:rsid w:val="0082725B"/>
    <w:rsid w:val="00827C4E"/>
    <w:rsid w:val="00830599"/>
    <w:rsid w:val="00830D7E"/>
    <w:rsid w:val="00831184"/>
    <w:rsid w:val="0083146F"/>
    <w:rsid w:val="00831A08"/>
    <w:rsid w:val="00832525"/>
    <w:rsid w:val="00833A44"/>
    <w:rsid w:val="008347EF"/>
    <w:rsid w:val="00834976"/>
    <w:rsid w:val="00835150"/>
    <w:rsid w:val="008351D9"/>
    <w:rsid w:val="00835427"/>
    <w:rsid w:val="00835645"/>
    <w:rsid w:val="00835A00"/>
    <w:rsid w:val="00835A05"/>
    <w:rsid w:val="00835A59"/>
    <w:rsid w:val="00835B79"/>
    <w:rsid w:val="00835DA1"/>
    <w:rsid w:val="00836980"/>
    <w:rsid w:val="00836A93"/>
    <w:rsid w:val="00836D3E"/>
    <w:rsid w:val="008372CE"/>
    <w:rsid w:val="00837B82"/>
    <w:rsid w:val="0084096C"/>
    <w:rsid w:val="00841517"/>
    <w:rsid w:val="00842317"/>
    <w:rsid w:val="008428AB"/>
    <w:rsid w:val="00842CCA"/>
    <w:rsid w:val="00842F7B"/>
    <w:rsid w:val="00843ACF"/>
    <w:rsid w:val="00843B3C"/>
    <w:rsid w:val="00843BB4"/>
    <w:rsid w:val="0084409B"/>
    <w:rsid w:val="00845068"/>
    <w:rsid w:val="008454D6"/>
    <w:rsid w:val="008455FB"/>
    <w:rsid w:val="008458EB"/>
    <w:rsid w:val="008462B8"/>
    <w:rsid w:val="00846D4C"/>
    <w:rsid w:val="00847B4F"/>
    <w:rsid w:val="00847F4B"/>
    <w:rsid w:val="0085024B"/>
    <w:rsid w:val="008503B1"/>
    <w:rsid w:val="00850536"/>
    <w:rsid w:val="00851129"/>
    <w:rsid w:val="00851211"/>
    <w:rsid w:val="0085123A"/>
    <w:rsid w:val="00851343"/>
    <w:rsid w:val="00851D73"/>
    <w:rsid w:val="00851F37"/>
    <w:rsid w:val="0085207E"/>
    <w:rsid w:val="0085297A"/>
    <w:rsid w:val="00852B75"/>
    <w:rsid w:val="00852CBD"/>
    <w:rsid w:val="00852D0E"/>
    <w:rsid w:val="008531F0"/>
    <w:rsid w:val="00854170"/>
    <w:rsid w:val="0085450D"/>
    <w:rsid w:val="0085488B"/>
    <w:rsid w:val="00854C4B"/>
    <w:rsid w:val="00855A84"/>
    <w:rsid w:val="00855D9A"/>
    <w:rsid w:val="00856E49"/>
    <w:rsid w:val="008600AA"/>
    <w:rsid w:val="0086028F"/>
    <w:rsid w:val="008608AA"/>
    <w:rsid w:val="00860C95"/>
    <w:rsid w:val="00861F96"/>
    <w:rsid w:val="008621D3"/>
    <w:rsid w:val="008621FA"/>
    <w:rsid w:val="00862F96"/>
    <w:rsid w:val="0086515B"/>
    <w:rsid w:val="00865940"/>
    <w:rsid w:val="00866186"/>
    <w:rsid w:val="00866390"/>
    <w:rsid w:val="008669F7"/>
    <w:rsid w:val="00866B30"/>
    <w:rsid w:val="00866DEE"/>
    <w:rsid w:val="00867C00"/>
    <w:rsid w:val="00867C07"/>
    <w:rsid w:val="00870DDE"/>
    <w:rsid w:val="00871A80"/>
    <w:rsid w:val="00871BC2"/>
    <w:rsid w:val="008726EF"/>
    <w:rsid w:val="0087293F"/>
    <w:rsid w:val="0087299B"/>
    <w:rsid w:val="00873028"/>
    <w:rsid w:val="00873E13"/>
    <w:rsid w:val="0087517B"/>
    <w:rsid w:val="00875470"/>
    <w:rsid w:val="0087584C"/>
    <w:rsid w:val="00876264"/>
    <w:rsid w:val="008768BC"/>
    <w:rsid w:val="0087723B"/>
    <w:rsid w:val="00877CC8"/>
    <w:rsid w:val="00877D85"/>
    <w:rsid w:val="00877E6B"/>
    <w:rsid w:val="00880405"/>
    <w:rsid w:val="00881546"/>
    <w:rsid w:val="008816C9"/>
    <w:rsid w:val="008820CB"/>
    <w:rsid w:val="00882952"/>
    <w:rsid w:val="00882BB7"/>
    <w:rsid w:val="00882E9C"/>
    <w:rsid w:val="008846AC"/>
    <w:rsid w:val="00884EE2"/>
    <w:rsid w:val="00884FD5"/>
    <w:rsid w:val="008850A7"/>
    <w:rsid w:val="008855BA"/>
    <w:rsid w:val="0088560A"/>
    <w:rsid w:val="0088573E"/>
    <w:rsid w:val="0088586F"/>
    <w:rsid w:val="00886E60"/>
    <w:rsid w:val="00886E95"/>
    <w:rsid w:val="00886F7E"/>
    <w:rsid w:val="0088758A"/>
    <w:rsid w:val="00887602"/>
    <w:rsid w:val="00887C63"/>
    <w:rsid w:val="008900B4"/>
    <w:rsid w:val="0089027A"/>
    <w:rsid w:val="00891D5D"/>
    <w:rsid w:val="0089244F"/>
    <w:rsid w:val="008943E5"/>
    <w:rsid w:val="00894626"/>
    <w:rsid w:val="00894805"/>
    <w:rsid w:val="00894C54"/>
    <w:rsid w:val="008950AC"/>
    <w:rsid w:val="00895143"/>
    <w:rsid w:val="008955F6"/>
    <w:rsid w:val="00895AE0"/>
    <w:rsid w:val="00896859"/>
    <w:rsid w:val="00896871"/>
    <w:rsid w:val="008969A5"/>
    <w:rsid w:val="00896F98"/>
    <w:rsid w:val="00897144"/>
    <w:rsid w:val="0089724F"/>
    <w:rsid w:val="00897D4E"/>
    <w:rsid w:val="008A028C"/>
    <w:rsid w:val="008A06F9"/>
    <w:rsid w:val="008A0BBD"/>
    <w:rsid w:val="008A0CC5"/>
    <w:rsid w:val="008A0D37"/>
    <w:rsid w:val="008A100E"/>
    <w:rsid w:val="008A295F"/>
    <w:rsid w:val="008A2FE8"/>
    <w:rsid w:val="008A32A5"/>
    <w:rsid w:val="008A3607"/>
    <w:rsid w:val="008A369B"/>
    <w:rsid w:val="008A48DC"/>
    <w:rsid w:val="008A5465"/>
    <w:rsid w:val="008A69C0"/>
    <w:rsid w:val="008A7B16"/>
    <w:rsid w:val="008A7C5A"/>
    <w:rsid w:val="008B0ADA"/>
    <w:rsid w:val="008B0FF2"/>
    <w:rsid w:val="008B1237"/>
    <w:rsid w:val="008B16C1"/>
    <w:rsid w:val="008B1F84"/>
    <w:rsid w:val="008B202F"/>
    <w:rsid w:val="008B219D"/>
    <w:rsid w:val="008B2349"/>
    <w:rsid w:val="008B2D9D"/>
    <w:rsid w:val="008B3060"/>
    <w:rsid w:val="008B34F0"/>
    <w:rsid w:val="008B3D26"/>
    <w:rsid w:val="008B41CC"/>
    <w:rsid w:val="008B4572"/>
    <w:rsid w:val="008B4CEF"/>
    <w:rsid w:val="008B5477"/>
    <w:rsid w:val="008B54F1"/>
    <w:rsid w:val="008B56BD"/>
    <w:rsid w:val="008B5711"/>
    <w:rsid w:val="008B585F"/>
    <w:rsid w:val="008B5FA8"/>
    <w:rsid w:val="008B6B7B"/>
    <w:rsid w:val="008B714A"/>
    <w:rsid w:val="008B78DE"/>
    <w:rsid w:val="008B79D7"/>
    <w:rsid w:val="008B7E1C"/>
    <w:rsid w:val="008B7EE3"/>
    <w:rsid w:val="008C03BF"/>
    <w:rsid w:val="008C0E1A"/>
    <w:rsid w:val="008C1012"/>
    <w:rsid w:val="008C14D1"/>
    <w:rsid w:val="008C16A3"/>
    <w:rsid w:val="008C199F"/>
    <w:rsid w:val="008C1D33"/>
    <w:rsid w:val="008C26D7"/>
    <w:rsid w:val="008C316A"/>
    <w:rsid w:val="008C3358"/>
    <w:rsid w:val="008C3A4B"/>
    <w:rsid w:val="008C3C02"/>
    <w:rsid w:val="008C3C40"/>
    <w:rsid w:val="008C3DD4"/>
    <w:rsid w:val="008C415E"/>
    <w:rsid w:val="008C47BD"/>
    <w:rsid w:val="008C4F52"/>
    <w:rsid w:val="008C54E3"/>
    <w:rsid w:val="008C597F"/>
    <w:rsid w:val="008C6143"/>
    <w:rsid w:val="008C669F"/>
    <w:rsid w:val="008C6F77"/>
    <w:rsid w:val="008D027B"/>
    <w:rsid w:val="008D0CA2"/>
    <w:rsid w:val="008D13B9"/>
    <w:rsid w:val="008D1BEF"/>
    <w:rsid w:val="008D20F2"/>
    <w:rsid w:val="008D28EA"/>
    <w:rsid w:val="008D2A34"/>
    <w:rsid w:val="008D3759"/>
    <w:rsid w:val="008D37F6"/>
    <w:rsid w:val="008D3F58"/>
    <w:rsid w:val="008D441C"/>
    <w:rsid w:val="008D561B"/>
    <w:rsid w:val="008D574A"/>
    <w:rsid w:val="008D5B9D"/>
    <w:rsid w:val="008D5BD3"/>
    <w:rsid w:val="008D6631"/>
    <w:rsid w:val="008D70FF"/>
    <w:rsid w:val="008E0008"/>
    <w:rsid w:val="008E015A"/>
    <w:rsid w:val="008E07C8"/>
    <w:rsid w:val="008E111E"/>
    <w:rsid w:val="008E12A7"/>
    <w:rsid w:val="008E142D"/>
    <w:rsid w:val="008E14AA"/>
    <w:rsid w:val="008E1E01"/>
    <w:rsid w:val="008E2188"/>
    <w:rsid w:val="008E36F5"/>
    <w:rsid w:val="008E37F7"/>
    <w:rsid w:val="008E3E99"/>
    <w:rsid w:val="008E412D"/>
    <w:rsid w:val="008E4B28"/>
    <w:rsid w:val="008E5527"/>
    <w:rsid w:val="008E59F9"/>
    <w:rsid w:val="008E5E8D"/>
    <w:rsid w:val="008E610C"/>
    <w:rsid w:val="008E6B74"/>
    <w:rsid w:val="008E7977"/>
    <w:rsid w:val="008F0186"/>
    <w:rsid w:val="008F0293"/>
    <w:rsid w:val="008F043B"/>
    <w:rsid w:val="008F04E6"/>
    <w:rsid w:val="008F0A3A"/>
    <w:rsid w:val="008F14FF"/>
    <w:rsid w:val="008F2DFB"/>
    <w:rsid w:val="008F37E6"/>
    <w:rsid w:val="008F382F"/>
    <w:rsid w:val="008F3ABF"/>
    <w:rsid w:val="008F3B07"/>
    <w:rsid w:val="008F3EB8"/>
    <w:rsid w:val="008F3F8E"/>
    <w:rsid w:val="008F424A"/>
    <w:rsid w:val="008F4867"/>
    <w:rsid w:val="008F5277"/>
    <w:rsid w:val="008F5DBB"/>
    <w:rsid w:val="008F6AF6"/>
    <w:rsid w:val="008F75F9"/>
    <w:rsid w:val="008F7CC4"/>
    <w:rsid w:val="00900083"/>
    <w:rsid w:val="00900FB7"/>
    <w:rsid w:val="009010A6"/>
    <w:rsid w:val="0090125D"/>
    <w:rsid w:val="00901424"/>
    <w:rsid w:val="0090165A"/>
    <w:rsid w:val="00901A84"/>
    <w:rsid w:val="00901AD2"/>
    <w:rsid w:val="00902022"/>
    <w:rsid w:val="0090215B"/>
    <w:rsid w:val="009021F7"/>
    <w:rsid w:val="0090311A"/>
    <w:rsid w:val="0090336E"/>
    <w:rsid w:val="00903709"/>
    <w:rsid w:val="00903880"/>
    <w:rsid w:val="009038F4"/>
    <w:rsid w:val="00903D27"/>
    <w:rsid w:val="00903ED4"/>
    <w:rsid w:val="0090404F"/>
    <w:rsid w:val="009042AD"/>
    <w:rsid w:val="009045AB"/>
    <w:rsid w:val="00904A4C"/>
    <w:rsid w:val="00904A59"/>
    <w:rsid w:val="009054DC"/>
    <w:rsid w:val="00905C0D"/>
    <w:rsid w:val="0090624F"/>
    <w:rsid w:val="00907394"/>
    <w:rsid w:val="0090739C"/>
    <w:rsid w:val="009076F5"/>
    <w:rsid w:val="009109BD"/>
    <w:rsid w:val="00911417"/>
    <w:rsid w:val="00911B9C"/>
    <w:rsid w:val="00911DC2"/>
    <w:rsid w:val="00911E0C"/>
    <w:rsid w:val="00911E67"/>
    <w:rsid w:val="00911FC5"/>
    <w:rsid w:val="00912AC9"/>
    <w:rsid w:val="00912B71"/>
    <w:rsid w:val="00913596"/>
    <w:rsid w:val="009135F9"/>
    <w:rsid w:val="00913ABD"/>
    <w:rsid w:val="00913E4E"/>
    <w:rsid w:val="00913F54"/>
    <w:rsid w:val="009142BE"/>
    <w:rsid w:val="00914386"/>
    <w:rsid w:val="0091485B"/>
    <w:rsid w:val="00914ED9"/>
    <w:rsid w:val="009153B5"/>
    <w:rsid w:val="009162E8"/>
    <w:rsid w:val="009163E0"/>
    <w:rsid w:val="00916590"/>
    <w:rsid w:val="0091661D"/>
    <w:rsid w:val="009168DE"/>
    <w:rsid w:val="009172AA"/>
    <w:rsid w:val="009175AC"/>
    <w:rsid w:val="009176B7"/>
    <w:rsid w:val="009179ED"/>
    <w:rsid w:val="00917F80"/>
    <w:rsid w:val="00920152"/>
    <w:rsid w:val="00920A05"/>
    <w:rsid w:val="00920EA9"/>
    <w:rsid w:val="009215B1"/>
    <w:rsid w:val="00921725"/>
    <w:rsid w:val="00921FB0"/>
    <w:rsid w:val="009221BA"/>
    <w:rsid w:val="0092231B"/>
    <w:rsid w:val="009224EA"/>
    <w:rsid w:val="00922972"/>
    <w:rsid w:val="009230F7"/>
    <w:rsid w:val="0092343F"/>
    <w:rsid w:val="00923B66"/>
    <w:rsid w:val="00923C09"/>
    <w:rsid w:val="00923C99"/>
    <w:rsid w:val="00924619"/>
    <w:rsid w:val="0092518B"/>
    <w:rsid w:val="00926090"/>
    <w:rsid w:val="0092788A"/>
    <w:rsid w:val="00930BF1"/>
    <w:rsid w:val="00930D33"/>
    <w:rsid w:val="009314F4"/>
    <w:rsid w:val="00931E09"/>
    <w:rsid w:val="0093309F"/>
    <w:rsid w:val="009331B9"/>
    <w:rsid w:val="00933603"/>
    <w:rsid w:val="00933DA0"/>
    <w:rsid w:val="009343A6"/>
    <w:rsid w:val="009348FF"/>
    <w:rsid w:val="00934B91"/>
    <w:rsid w:val="0093570B"/>
    <w:rsid w:val="00935BE7"/>
    <w:rsid w:val="009364BB"/>
    <w:rsid w:val="0093706B"/>
    <w:rsid w:val="009375C3"/>
    <w:rsid w:val="009377CF"/>
    <w:rsid w:val="0094018F"/>
    <w:rsid w:val="0094034B"/>
    <w:rsid w:val="00940512"/>
    <w:rsid w:val="00941ABE"/>
    <w:rsid w:val="00941CAA"/>
    <w:rsid w:val="009421C1"/>
    <w:rsid w:val="00942877"/>
    <w:rsid w:val="00943358"/>
    <w:rsid w:val="00943DC1"/>
    <w:rsid w:val="00944125"/>
    <w:rsid w:val="00944CEF"/>
    <w:rsid w:val="009452B3"/>
    <w:rsid w:val="0094536B"/>
    <w:rsid w:val="00945864"/>
    <w:rsid w:val="00945989"/>
    <w:rsid w:val="0094600B"/>
    <w:rsid w:val="0094657B"/>
    <w:rsid w:val="0094660C"/>
    <w:rsid w:val="00947B4D"/>
    <w:rsid w:val="00947CF4"/>
    <w:rsid w:val="00950E22"/>
    <w:rsid w:val="00950F42"/>
    <w:rsid w:val="009513D8"/>
    <w:rsid w:val="0095147C"/>
    <w:rsid w:val="00951638"/>
    <w:rsid w:val="00951760"/>
    <w:rsid w:val="009519AA"/>
    <w:rsid w:val="0095211F"/>
    <w:rsid w:val="00952D72"/>
    <w:rsid w:val="00952FD9"/>
    <w:rsid w:val="009533E6"/>
    <w:rsid w:val="00953D8B"/>
    <w:rsid w:val="00953FBB"/>
    <w:rsid w:val="009549AC"/>
    <w:rsid w:val="0095560B"/>
    <w:rsid w:val="00955B3F"/>
    <w:rsid w:val="0095703A"/>
    <w:rsid w:val="0096037E"/>
    <w:rsid w:val="00960A4A"/>
    <w:rsid w:val="00960E47"/>
    <w:rsid w:val="00961058"/>
    <w:rsid w:val="00961596"/>
    <w:rsid w:val="009623DD"/>
    <w:rsid w:val="009629BD"/>
    <w:rsid w:val="00963654"/>
    <w:rsid w:val="00963981"/>
    <w:rsid w:val="00963D8E"/>
    <w:rsid w:val="00963F3A"/>
    <w:rsid w:val="00964A06"/>
    <w:rsid w:val="00964FD3"/>
    <w:rsid w:val="009651CC"/>
    <w:rsid w:val="00966602"/>
    <w:rsid w:val="00966B92"/>
    <w:rsid w:val="009670B0"/>
    <w:rsid w:val="009674F9"/>
    <w:rsid w:val="00967552"/>
    <w:rsid w:val="0096790C"/>
    <w:rsid w:val="00967C00"/>
    <w:rsid w:val="00967DED"/>
    <w:rsid w:val="00970559"/>
    <w:rsid w:val="00970DD9"/>
    <w:rsid w:val="00970E05"/>
    <w:rsid w:val="0097105B"/>
    <w:rsid w:val="00972A73"/>
    <w:rsid w:val="00972EB1"/>
    <w:rsid w:val="009735EC"/>
    <w:rsid w:val="009736A6"/>
    <w:rsid w:val="00973F7B"/>
    <w:rsid w:val="00974016"/>
    <w:rsid w:val="009743AE"/>
    <w:rsid w:val="009748FD"/>
    <w:rsid w:val="0097496B"/>
    <w:rsid w:val="009752D0"/>
    <w:rsid w:val="009755BE"/>
    <w:rsid w:val="009757EA"/>
    <w:rsid w:val="00976540"/>
    <w:rsid w:val="0097687D"/>
    <w:rsid w:val="00976928"/>
    <w:rsid w:val="00976CD7"/>
    <w:rsid w:val="00977065"/>
    <w:rsid w:val="00977BC6"/>
    <w:rsid w:val="0098037C"/>
    <w:rsid w:val="00980ACE"/>
    <w:rsid w:val="00981273"/>
    <w:rsid w:val="0098166A"/>
    <w:rsid w:val="00981792"/>
    <w:rsid w:val="0098192E"/>
    <w:rsid w:val="00981A13"/>
    <w:rsid w:val="00981BCB"/>
    <w:rsid w:val="00981C73"/>
    <w:rsid w:val="00982FF3"/>
    <w:rsid w:val="0098368F"/>
    <w:rsid w:val="0098379F"/>
    <w:rsid w:val="00983BDD"/>
    <w:rsid w:val="0098410C"/>
    <w:rsid w:val="00984292"/>
    <w:rsid w:val="00984686"/>
    <w:rsid w:val="00984AF0"/>
    <w:rsid w:val="00984F9A"/>
    <w:rsid w:val="00985074"/>
    <w:rsid w:val="009851C2"/>
    <w:rsid w:val="0098520B"/>
    <w:rsid w:val="009855D2"/>
    <w:rsid w:val="00985EAE"/>
    <w:rsid w:val="00986057"/>
    <w:rsid w:val="00986A7C"/>
    <w:rsid w:val="009870E0"/>
    <w:rsid w:val="0098733A"/>
    <w:rsid w:val="00987975"/>
    <w:rsid w:val="00987E80"/>
    <w:rsid w:val="0099009A"/>
    <w:rsid w:val="009905AD"/>
    <w:rsid w:val="00990635"/>
    <w:rsid w:val="00990812"/>
    <w:rsid w:val="00990F95"/>
    <w:rsid w:val="009917CD"/>
    <w:rsid w:val="00991FB5"/>
    <w:rsid w:val="00992216"/>
    <w:rsid w:val="00992333"/>
    <w:rsid w:val="0099239D"/>
    <w:rsid w:val="00992C6B"/>
    <w:rsid w:val="0099334C"/>
    <w:rsid w:val="0099337E"/>
    <w:rsid w:val="009936DA"/>
    <w:rsid w:val="009936F1"/>
    <w:rsid w:val="00993D05"/>
    <w:rsid w:val="00994088"/>
    <w:rsid w:val="00995254"/>
    <w:rsid w:val="00996942"/>
    <w:rsid w:val="009973E5"/>
    <w:rsid w:val="00997AF8"/>
    <w:rsid w:val="00997E99"/>
    <w:rsid w:val="009A0666"/>
    <w:rsid w:val="009A071B"/>
    <w:rsid w:val="009A0A4B"/>
    <w:rsid w:val="009A0FB7"/>
    <w:rsid w:val="009A16B5"/>
    <w:rsid w:val="009A17AF"/>
    <w:rsid w:val="009A2155"/>
    <w:rsid w:val="009A315C"/>
    <w:rsid w:val="009A3B9D"/>
    <w:rsid w:val="009A40E3"/>
    <w:rsid w:val="009A4D92"/>
    <w:rsid w:val="009A4FB8"/>
    <w:rsid w:val="009A5472"/>
    <w:rsid w:val="009A590D"/>
    <w:rsid w:val="009A6A50"/>
    <w:rsid w:val="009A6CE0"/>
    <w:rsid w:val="009A7D02"/>
    <w:rsid w:val="009B1E93"/>
    <w:rsid w:val="009B27F5"/>
    <w:rsid w:val="009B315C"/>
    <w:rsid w:val="009B335B"/>
    <w:rsid w:val="009B3427"/>
    <w:rsid w:val="009B372D"/>
    <w:rsid w:val="009B47FC"/>
    <w:rsid w:val="009B49A2"/>
    <w:rsid w:val="009B5989"/>
    <w:rsid w:val="009B6589"/>
    <w:rsid w:val="009B6751"/>
    <w:rsid w:val="009B6A7B"/>
    <w:rsid w:val="009B724C"/>
    <w:rsid w:val="009B7C6E"/>
    <w:rsid w:val="009B7F0A"/>
    <w:rsid w:val="009C0BB6"/>
    <w:rsid w:val="009C1BE6"/>
    <w:rsid w:val="009C1F2B"/>
    <w:rsid w:val="009C2165"/>
    <w:rsid w:val="009C26F2"/>
    <w:rsid w:val="009C4158"/>
    <w:rsid w:val="009C4CA5"/>
    <w:rsid w:val="009C50E7"/>
    <w:rsid w:val="009C5E1D"/>
    <w:rsid w:val="009C6090"/>
    <w:rsid w:val="009C645F"/>
    <w:rsid w:val="009C6849"/>
    <w:rsid w:val="009C6876"/>
    <w:rsid w:val="009C7FC9"/>
    <w:rsid w:val="009D0DFB"/>
    <w:rsid w:val="009D1B61"/>
    <w:rsid w:val="009D1D6B"/>
    <w:rsid w:val="009D22FA"/>
    <w:rsid w:val="009D2519"/>
    <w:rsid w:val="009D2ABA"/>
    <w:rsid w:val="009D307F"/>
    <w:rsid w:val="009D32FE"/>
    <w:rsid w:val="009D4659"/>
    <w:rsid w:val="009D4A3E"/>
    <w:rsid w:val="009D4C84"/>
    <w:rsid w:val="009D4E15"/>
    <w:rsid w:val="009D5894"/>
    <w:rsid w:val="009D59F7"/>
    <w:rsid w:val="009D61FA"/>
    <w:rsid w:val="009D6254"/>
    <w:rsid w:val="009D666F"/>
    <w:rsid w:val="009D6761"/>
    <w:rsid w:val="009D6B90"/>
    <w:rsid w:val="009E102A"/>
    <w:rsid w:val="009E1CC7"/>
    <w:rsid w:val="009E2118"/>
    <w:rsid w:val="009E24B9"/>
    <w:rsid w:val="009E2E27"/>
    <w:rsid w:val="009E3005"/>
    <w:rsid w:val="009E3133"/>
    <w:rsid w:val="009E326A"/>
    <w:rsid w:val="009E3530"/>
    <w:rsid w:val="009E38C2"/>
    <w:rsid w:val="009E397B"/>
    <w:rsid w:val="009E3BB5"/>
    <w:rsid w:val="009E3F3D"/>
    <w:rsid w:val="009E3F8D"/>
    <w:rsid w:val="009E5134"/>
    <w:rsid w:val="009E58C4"/>
    <w:rsid w:val="009E6888"/>
    <w:rsid w:val="009E6F0F"/>
    <w:rsid w:val="009E791F"/>
    <w:rsid w:val="009E7994"/>
    <w:rsid w:val="009F0746"/>
    <w:rsid w:val="009F0A77"/>
    <w:rsid w:val="009F1333"/>
    <w:rsid w:val="009F1450"/>
    <w:rsid w:val="009F17AE"/>
    <w:rsid w:val="009F2464"/>
    <w:rsid w:val="009F2FCF"/>
    <w:rsid w:val="009F3AF0"/>
    <w:rsid w:val="009F4078"/>
    <w:rsid w:val="009F4090"/>
    <w:rsid w:val="009F464E"/>
    <w:rsid w:val="009F4789"/>
    <w:rsid w:val="009F4968"/>
    <w:rsid w:val="009F590B"/>
    <w:rsid w:val="009F6068"/>
    <w:rsid w:val="009F7368"/>
    <w:rsid w:val="009F784C"/>
    <w:rsid w:val="009F7F65"/>
    <w:rsid w:val="00A003CA"/>
    <w:rsid w:val="00A00493"/>
    <w:rsid w:val="00A00956"/>
    <w:rsid w:val="00A00C1C"/>
    <w:rsid w:val="00A0101C"/>
    <w:rsid w:val="00A019C1"/>
    <w:rsid w:val="00A01E1F"/>
    <w:rsid w:val="00A035AD"/>
    <w:rsid w:val="00A03B68"/>
    <w:rsid w:val="00A03EFE"/>
    <w:rsid w:val="00A045FE"/>
    <w:rsid w:val="00A050AF"/>
    <w:rsid w:val="00A0528F"/>
    <w:rsid w:val="00A056E1"/>
    <w:rsid w:val="00A065D5"/>
    <w:rsid w:val="00A0703B"/>
    <w:rsid w:val="00A112AA"/>
    <w:rsid w:val="00A112D6"/>
    <w:rsid w:val="00A11B8B"/>
    <w:rsid w:val="00A11C3B"/>
    <w:rsid w:val="00A11CA2"/>
    <w:rsid w:val="00A12292"/>
    <w:rsid w:val="00A1238B"/>
    <w:rsid w:val="00A123DB"/>
    <w:rsid w:val="00A12C96"/>
    <w:rsid w:val="00A12DB5"/>
    <w:rsid w:val="00A13129"/>
    <w:rsid w:val="00A131D8"/>
    <w:rsid w:val="00A145C3"/>
    <w:rsid w:val="00A15650"/>
    <w:rsid w:val="00A15A10"/>
    <w:rsid w:val="00A165C5"/>
    <w:rsid w:val="00A1685A"/>
    <w:rsid w:val="00A173F8"/>
    <w:rsid w:val="00A17B4A"/>
    <w:rsid w:val="00A17F88"/>
    <w:rsid w:val="00A17FCD"/>
    <w:rsid w:val="00A204C8"/>
    <w:rsid w:val="00A211B4"/>
    <w:rsid w:val="00A214C2"/>
    <w:rsid w:val="00A229CC"/>
    <w:rsid w:val="00A22B69"/>
    <w:rsid w:val="00A22CCB"/>
    <w:rsid w:val="00A22DDE"/>
    <w:rsid w:val="00A233BA"/>
    <w:rsid w:val="00A23BAD"/>
    <w:rsid w:val="00A247AB"/>
    <w:rsid w:val="00A24C48"/>
    <w:rsid w:val="00A25247"/>
    <w:rsid w:val="00A25EA8"/>
    <w:rsid w:val="00A25F23"/>
    <w:rsid w:val="00A26897"/>
    <w:rsid w:val="00A26A25"/>
    <w:rsid w:val="00A26D51"/>
    <w:rsid w:val="00A26D7B"/>
    <w:rsid w:val="00A27172"/>
    <w:rsid w:val="00A30112"/>
    <w:rsid w:val="00A306C4"/>
    <w:rsid w:val="00A30867"/>
    <w:rsid w:val="00A3166A"/>
    <w:rsid w:val="00A3186F"/>
    <w:rsid w:val="00A31A53"/>
    <w:rsid w:val="00A31BCF"/>
    <w:rsid w:val="00A32638"/>
    <w:rsid w:val="00A3412E"/>
    <w:rsid w:val="00A35799"/>
    <w:rsid w:val="00A35F57"/>
    <w:rsid w:val="00A36697"/>
    <w:rsid w:val="00A37AB0"/>
    <w:rsid w:val="00A37F45"/>
    <w:rsid w:val="00A4038B"/>
    <w:rsid w:val="00A40525"/>
    <w:rsid w:val="00A40AB4"/>
    <w:rsid w:val="00A418EC"/>
    <w:rsid w:val="00A41B56"/>
    <w:rsid w:val="00A41CAC"/>
    <w:rsid w:val="00A41CCB"/>
    <w:rsid w:val="00A41CF6"/>
    <w:rsid w:val="00A41D6A"/>
    <w:rsid w:val="00A41D79"/>
    <w:rsid w:val="00A427C7"/>
    <w:rsid w:val="00A42F94"/>
    <w:rsid w:val="00A43A6F"/>
    <w:rsid w:val="00A43F0D"/>
    <w:rsid w:val="00A440B4"/>
    <w:rsid w:val="00A44A24"/>
    <w:rsid w:val="00A45983"/>
    <w:rsid w:val="00A45CB4"/>
    <w:rsid w:val="00A466B0"/>
    <w:rsid w:val="00A4679A"/>
    <w:rsid w:val="00A46E31"/>
    <w:rsid w:val="00A471C2"/>
    <w:rsid w:val="00A47A8E"/>
    <w:rsid w:val="00A47F9C"/>
    <w:rsid w:val="00A51ADE"/>
    <w:rsid w:val="00A5205E"/>
    <w:rsid w:val="00A52061"/>
    <w:rsid w:val="00A5381B"/>
    <w:rsid w:val="00A53A30"/>
    <w:rsid w:val="00A53CF0"/>
    <w:rsid w:val="00A53EA6"/>
    <w:rsid w:val="00A543DA"/>
    <w:rsid w:val="00A54C3C"/>
    <w:rsid w:val="00A55343"/>
    <w:rsid w:val="00A55A50"/>
    <w:rsid w:val="00A55B99"/>
    <w:rsid w:val="00A55F41"/>
    <w:rsid w:val="00A56748"/>
    <w:rsid w:val="00A5676D"/>
    <w:rsid w:val="00A56ED1"/>
    <w:rsid w:val="00A57689"/>
    <w:rsid w:val="00A57CCA"/>
    <w:rsid w:val="00A60889"/>
    <w:rsid w:val="00A609F2"/>
    <w:rsid w:val="00A60AA0"/>
    <w:rsid w:val="00A60B85"/>
    <w:rsid w:val="00A6110C"/>
    <w:rsid w:val="00A61560"/>
    <w:rsid w:val="00A62840"/>
    <w:rsid w:val="00A63DCC"/>
    <w:rsid w:val="00A646A2"/>
    <w:rsid w:val="00A64DF6"/>
    <w:rsid w:val="00A65429"/>
    <w:rsid w:val="00A65D34"/>
    <w:rsid w:val="00A66455"/>
    <w:rsid w:val="00A6646C"/>
    <w:rsid w:val="00A67FF8"/>
    <w:rsid w:val="00A7089F"/>
    <w:rsid w:val="00A7196B"/>
    <w:rsid w:val="00A726A5"/>
    <w:rsid w:val="00A72D41"/>
    <w:rsid w:val="00A72E83"/>
    <w:rsid w:val="00A73332"/>
    <w:rsid w:val="00A73402"/>
    <w:rsid w:val="00A74BCC"/>
    <w:rsid w:val="00A74FAE"/>
    <w:rsid w:val="00A75493"/>
    <w:rsid w:val="00A7558E"/>
    <w:rsid w:val="00A756CC"/>
    <w:rsid w:val="00A75BC1"/>
    <w:rsid w:val="00A76678"/>
    <w:rsid w:val="00A769F6"/>
    <w:rsid w:val="00A76EB2"/>
    <w:rsid w:val="00A7741D"/>
    <w:rsid w:val="00A774E3"/>
    <w:rsid w:val="00A7774E"/>
    <w:rsid w:val="00A7786B"/>
    <w:rsid w:val="00A778E6"/>
    <w:rsid w:val="00A80025"/>
    <w:rsid w:val="00A80255"/>
    <w:rsid w:val="00A80720"/>
    <w:rsid w:val="00A80CA8"/>
    <w:rsid w:val="00A80D1C"/>
    <w:rsid w:val="00A812E5"/>
    <w:rsid w:val="00A81D7F"/>
    <w:rsid w:val="00A8216A"/>
    <w:rsid w:val="00A82780"/>
    <w:rsid w:val="00A83376"/>
    <w:rsid w:val="00A833C9"/>
    <w:rsid w:val="00A835F9"/>
    <w:rsid w:val="00A83704"/>
    <w:rsid w:val="00A844DA"/>
    <w:rsid w:val="00A848F4"/>
    <w:rsid w:val="00A84DB5"/>
    <w:rsid w:val="00A8547B"/>
    <w:rsid w:val="00A85585"/>
    <w:rsid w:val="00A858E6"/>
    <w:rsid w:val="00A85CF8"/>
    <w:rsid w:val="00A863C6"/>
    <w:rsid w:val="00A87819"/>
    <w:rsid w:val="00A878C3"/>
    <w:rsid w:val="00A87CF8"/>
    <w:rsid w:val="00A905AC"/>
    <w:rsid w:val="00A9090B"/>
    <w:rsid w:val="00A911C6"/>
    <w:rsid w:val="00A911CC"/>
    <w:rsid w:val="00A9127C"/>
    <w:rsid w:val="00A92022"/>
    <w:rsid w:val="00A9278E"/>
    <w:rsid w:val="00A927D2"/>
    <w:rsid w:val="00A929D0"/>
    <w:rsid w:val="00A9310A"/>
    <w:rsid w:val="00A935C2"/>
    <w:rsid w:val="00A94118"/>
    <w:rsid w:val="00A94340"/>
    <w:rsid w:val="00A944BA"/>
    <w:rsid w:val="00A94739"/>
    <w:rsid w:val="00A94C54"/>
    <w:rsid w:val="00A953BE"/>
    <w:rsid w:val="00A957D7"/>
    <w:rsid w:val="00A95CD1"/>
    <w:rsid w:val="00A9646B"/>
    <w:rsid w:val="00A9732B"/>
    <w:rsid w:val="00A97973"/>
    <w:rsid w:val="00AA0410"/>
    <w:rsid w:val="00AA0461"/>
    <w:rsid w:val="00AA048E"/>
    <w:rsid w:val="00AA057D"/>
    <w:rsid w:val="00AA15DB"/>
    <w:rsid w:val="00AA1695"/>
    <w:rsid w:val="00AA2F10"/>
    <w:rsid w:val="00AA3118"/>
    <w:rsid w:val="00AA4055"/>
    <w:rsid w:val="00AA4060"/>
    <w:rsid w:val="00AA43A6"/>
    <w:rsid w:val="00AA472C"/>
    <w:rsid w:val="00AA4F34"/>
    <w:rsid w:val="00AA555D"/>
    <w:rsid w:val="00AA581F"/>
    <w:rsid w:val="00AA5E14"/>
    <w:rsid w:val="00AA5E99"/>
    <w:rsid w:val="00AA7684"/>
    <w:rsid w:val="00AA7D05"/>
    <w:rsid w:val="00AB07C9"/>
    <w:rsid w:val="00AB0DEA"/>
    <w:rsid w:val="00AB1077"/>
    <w:rsid w:val="00AB1B3B"/>
    <w:rsid w:val="00AB1E34"/>
    <w:rsid w:val="00AB22F8"/>
    <w:rsid w:val="00AB2E28"/>
    <w:rsid w:val="00AB2FC1"/>
    <w:rsid w:val="00AB3D6E"/>
    <w:rsid w:val="00AB3FA0"/>
    <w:rsid w:val="00AB4024"/>
    <w:rsid w:val="00AB5800"/>
    <w:rsid w:val="00AB7BCE"/>
    <w:rsid w:val="00AC078D"/>
    <w:rsid w:val="00AC07F4"/>
    <w:rsid w:val="00AC0924"/>
    <w:rsid w:val="00AC147D"/>
    <w:rsid w:val="00AC1A83"/>
    <w:rsid w:val="00AC2415"/>
    <w:rsid w:val="00AC2584"/>
    <w:rsid w:val="00AC37BF"/>
    <w:rsid w:val="00AC42AA"/>
    <w:rsid w:val="00AC42FB"/>
    <w:rsid w:val="00AC42FC"/>
    <w:rsid w:val="00AC454A"/>
    <w:rsid w:val="00AC57DB"/>
    <w:rsid w:val="00AC61B3"/>
    <w:rsid w:val="00AC6825"/>
    <w:rsid w:val="00AC6827"/>
    <w:rsid w:val="00AC71B5"/>
    <w:rsid w:val="00AC7851"/>
    <w:rsid w:val="00AC7E6A"/>
    <w:rsid w:val="00AD0564"/>
    <w:rsid w:val="00AD0672"/>
    <w:rsid w:val="00AD0CF3"/>
    <w:rsid w:val="00AD1846"/>
    <w:rsid w:val="00AD2707"/>
    <w:rsid w:val="00AD2880"/>
    <w:rsid w:val="00AD2A79"/>
    <w:rsid w:val="00AD30D8"/>
    <w:rsid w:val="00AD31B3"/>
    <w:rsid w:val="00AD3506"/>
    <w:rsid w:val="00AD355D"/>
    <w:rsid w:val="00AD37F7"/>
    <w:rsid w:val="00AD3AC1"/>
    <w:rsid w:val="00AD44A6"/>
    <w:rsid w:val="00AD4791"/>
    <w:rsid w:val="00AD4A31"/>
    <w:rsid w:val="00AD4D7E"/>
    <w:rsid w:val="00AD522E"/>
    <w:rsid w:val="00AD5426"/>
    <w:rsid w:val="00AD5AF4"/>
    <w:rsid w:val="00AD65E8"/>
    <w:rsid w:val="00AD676B"/>
    <w:rsid w:val="00AD6B42"/>
    <w:rsid w:val="00AD6B82"/>
    <w:rsid w:val="00AD7294"/>
    <w:rsid w:val="00AD7DB3"/>
    <w:rsid w:val="00AD7F83"/>
    <w:rsid w:val="00AE034F"/>
    <w:rsid w:val="00AE1A2E"/>
    <w:rsid w:val="00AE2833"/>
    <w:rsid w:val="00AE28CD"/>
    <w:rsid w:val="00AE2972"/>
    <w:rsid w:val="00AE2982"/>
    <w:rsid w:val="00AE2987"/>
    <w:rsid w:val="00AE3288"/>
    <w:rsid w:val="00AE3941"/>
    <w:rsid w:val="00AE3D43"/>
    <w:rsid w:val="00AE43B5"/>
    <w:rsid w:val="00AE4B91"/>
    <w:rsid w:val="00AE5406"/>
    <w:rsid w:val="00AE6732"/>
    <w:rsid w:val="00AE6936"/>
    <w:rsid w:val="00AE73BE"/>
    <w:rsid w:val="00AE74C7"/>
    <w:rsid w:val="00AF0C96"/>
    <w:rsid w:val="00AF1867"/>
    <w:rsid w:val="00AF311E"/>
    <w:rsid w:val="00AF3C25"/>
    <w:rsid w:val="00AF3F0B"/>
    <w:rsid w:val="00AF42A1"/>
    <w:rsid w:val="00AF4437"/>
    <w:rsid w:val="00AF449E"/>
    <w:rsid w:val="00AF4AAE"/>
    <w:rsid w:val="00AF5B0C"/>
    <w:rsid w:val="00AF5C66"/>
    <w:rsid w:val="00AF5D33"/>
    <w:rsid w:val="00AF607F"/>
    <w:rsid w:val="00AF73DF"/>
    <w:rsid w:val="00AF792C"/>
    <w:rsid w:val="00B003E8"/>
    <w:rsid w:val="00B00629"/>
    <w:rsid w:val="00B009C6"/>
    <w:rsid w:val="00B00EEE"/>
    <w:rsid w:val="00B013AA"/>
    <w:rsid w:val="00B014D7"/>
    <w:rsid w:val="00B01A08"/>
    <w:rsid w:val="00B01A1A"/>
    <w:rsid w:val="00B03270"/>
    <w:rsid w:val="00B04217"/>
    <w:rsid w:val="00B04672"/>
    <w:rsid w:val="00B04CE7"/>
    <w:rsid w:val="00B06650"/>
    <w:rsid w:val="00B066E8"/>
    <w:rsid w:val="00B0735D"/>
    <w:rsid w:val="00B07B76"/>
    <w:rsid w:val="00B109A0"/>
    <w:rsid w:val="00B10D2A"/>
    <w:rsid w:val="00B119ED"/>
    <w:rsid w:val="00B11A11"/>
    <w:rsid w:val="00B12593"/>
    <w:rsid w:val="00B12817"/>
    <w:rsid w:val="00B13442"/>
    <w:rsid w:val="00B1389B"/>
    <w:rsid w:val="00B13B36"/>
    <w:rsid w:val="00B15229"/>
    <w:rsid w:val="00B15A82"/>
    <w:rsid w:val="00B15DA7"/>
    <w:rsid w:val="00B15DDE"/>
    <w:rsid w:val="00B161B6"/>
    <w:rsid w:val="00B168B0"/>
    <w:rsid w:val="00B169C3"/>
    <w:rsid w:val="00B16E3E"/>
    <w:rsid w:val="00B174DC"/>
    <w:rsid w:val="00B17FE4"/>
    <w:rsid w:val="00B20224"/>
    <w:rsid w:val="00B203D1"/>
    <w:rsid w:val="00B20586"/>
    <w:rsid w:val="00B226DB"/>
    <w:rsid w:val="00B230C6"/>
    <w:rsid w:val="00B2368E"/>
    <w:rsid w:val="00B23907"/>
    <w:rsid w:val="00B23ED1"/>
    <w:rsid w:val="00B24878"/>
    <w:rsid w:val="00B249B6"/>
    <w:rsid w:val="00B24D6A"/>
    <w:rsid w:val="00B25A75"/>
    <w:rsid w:val="00B25CBF"/>
    <w:rsid w:val="00B26138"/>
    <w:rsid w:val="00B2621E"/>
    <w:rsid w:val="00B26ED5"/>
    <w:rsid w:val="00B26FA6"/>
    <w:rsid w:val="00B27879"/>
    <w:rsid w:val="00B305B1"/>
    <w:rsid w:val="00B307FA"/>
    <w:rsid w:val="00B313B0"/>
    <w:rsid w:val="00B31EBF"/>
    <w:rsid w:val="00B31F2B"/>
    <w:rsid w:val="00B3217E"/>
    <w:rsid w:val="00B33794"/>
    <w:rsid w:val="00B33FBA"/>
    <w:rsid w:val="00B340C3"/>
    <w:rsid w:val="00B34A17"/>
    <w:rsid w:val="00B34E88"/>
    <w:rsid w:val="00B35801"/>
    <w:rsid w:val="00B361D2"/>
    <w:rsid w:val="00B368D7"/>
    <w:rsid w:val="00B36EA9"/>
    <w:rsid w:val="00B36F60"/>
    <w:rsid w:val="00B3748A"/>
    <w:rsid w:val="00B375B3"/>
    <w:rsid w:val="00B3771D"/>
    <w:rsid w:val="00B41463"/>
    <w:rsid w:val="00B4182F"/>
    <w:rsid w:val="00B418F1"/>
    <w:rsid w:val="00B4265A"/>
    <w:rsid w:val="00B429FE"/>
    <w:rsid w:val="00B42B85"/>
    <w:rsid w:val="00B42E6F"/>
    <w:rsid w:val="00B44443"/>
    <w:rsid w:val="00B4453F"/>
    <w:rsid w:val="00B445C1"/>
    <w:rsid w:val="00B446C1"/>
    <w:rsid w:val="00B44FA4"/>
    <w:rsid w:val="00B4562C"/>
    <w:rsid w:val="00B461B2"/>
    <w:rsid w:val="00B46FBF"/>
    <w:rsid w:val="00B47B61"/>
    <w:rsid w:val="00B508EB"/>
    <w:rsid w:val="00B5125E"/>
    <w:rsid w:val="00B51419"/>
    <w:rsid w:val="00B51449"/>
    <w:rsid w:val="00B514C7"/>
    <w:rsid w:val="00B516AF"/>
    <w:rsid w:val="00B517D3"/>
    <w:rsid w:val="00B52822"/>
    <w:rsid w:val="00B53026"/>
    <w:rsid w:val="00B539B2"/>
    <w:rsid w:val="00B53A18"/>
    <w:rsid w:val="00B540D1"/>
    <w:rsid w:val="00B541C1"/>
    <w:rsid w:val="00B54265"/>
    <w:rsid w:val="00B542B0"/>
    <w:rsid w:val="00B54381"/>
    <w:rsid w:val="00B55AB2"/>
    <w:rsid w:val="00B56764"/>
    <w:rsid w:val="00B56941"/>
    <w:rsid w:val="00B5753C"/>
    <w:rsid w:val="00B57575"/>
    <w:rsid w:val="00B60132"/>
    <w:rsid w:val="00B60C42"/>
    <w:rsid w:val="00B6194E"/>
    <w:rsid w:val="00B623B5"/>
    <w:rsid w:val="00B6275D"/>
    <w:rsid w:val="00B62A16"/>
    <w:rsid w:val="00B62EDF"/>
    <w:rsid w:val="00B645AE"/>
    <w:rsid w:val="00B65AB5"/>
    <w:rsid w:val="00B663CD"/>
    <w:rsid w:val="00B66B2C"/>
    <w:rsid w:val="00B67206"/>
    <w:rsid w:val="00B676A4"/>
    <w:rsid w:val="00B678F3"/>
    <w:rsid w:val="00B679BD"/>
    <w:rsid w:val="00B67A7A"/>
    <w:rsid w:val="00B700E6"/>
    <w:rsid w:val="00B7029E"/>
    <w:rsid w:val="00B71436"/>
    <w:rsid w:val="00B71A38"/>
    <w:rsid w:val="00B7207A"/>
    <w:rsid w:val="00B725BE"/>
    <w:rsid w:val="00B72B90"/>
    <w:rsid w:val="00B731B8"/>
    <w:rsid w:val="00B73AEB"/>
    <w:rsid w:val="00B73E80"/>
    <w:rsid w:val="00B74104"/>
    <w:rsid w:val="00B747DD"/>
    <w:rsid w:val="00B749EC"/>
    <w:rsid w:val="00B74A16"/>
    <w:rsid w:val="00B74E17"/>
    <w:rsid w:val="00B75173"/>
    <w:rsid w:val="00B758E5"/>
    <w:rsid w:val="00B75BCB"/>
    <w:rsid w:val="00B76435"/>
    <w:rsid w:val="00B767EF"/>
    <w:rsid w:val="00B76CFB"/>
    <w:rsid w:val="00B77F3C"/>
    <w:rsid w:val="00B8048D"/>
    <w:rsid w:val="00B80A29"/>
    <w:rsid w:val="00B81C08"/>
    <w:rsid w:val="00B825E5"/>
    <w:rsid w:val="00B82EF0"/>
    <w:rsid w:val="00B83BBF"/>
    <w:rsid w:val="00B83C6F"/>
    <w:rsid w:val="00B84D46"/>
    <w:rsid w:val="00B85550"/>
    <w:rsid w:val="00B8576B"/>
    <w:rsid w:val="00B85B34"/>
    <w:rsid w:val="00B86538"/>
    <w:rsid w:val="00B866E9"/>
    <w:rsid w:val="00B86740"/>
    <w:rsid w:val="00B86CFC"/>
    <w:rsid w:val="00B87BE2"/>
    <w:rsid w:val="00B87E6A"/>
    <w:rsid w:val="00B903DD"/>
    <w:rsid w:val="00B9049B"/>
    <w:rsid w:val="00B91D6D"/>
    <w:rsid w:val="00B9287B"/>
    <w:rsid w:val="00B92AD5"/>
    <w:rsid w:val="00B92C0B"/>
    <w:rsid w:val="00B93094"/>
    <w:rsid w:val="00B93097"/>
    <w:rsid w:val="00B93435"/>
    <w:rsid w:val="00B93648"/>
    <w:rsid w:val="00B9383D"/>
    <w:rsid w:val="00B93C63"/>
    <w:rsid w:val="00B93F78"/>
    <w:rsid w:val="00B947CB"/>
    <w:rsid w:val="00B94F05"/>
    <w:rsid w:val="00B9505F"/>
    <w:rsid w:val="00B96084"/>
    <w:rsid w:val="00B96BA0"/>
    <w:rsid w:val="00B96EAF"/>
    <w:rsid w:val="00B9705E"/>
    <w:rsid w:val="00BA0AB8"/>
    <w:rsid w:val="00BA14D3"/>
    <w:rsid w:val="00BA2437"/>
    <w:rsid w:val="00BA3512"/>
    <w:rsid w:val="00BA471F"/>
    <w:rsid w:val="00BA47B2"/>
    <w:rsid w:val="00BA4C88"/>
    <w:rsid w:val="00BA4DAE"/>
    <w:rsid w:val="00BA4F4B"/>
    <w:rsid w:val="00BA50D6"/>
    <w:rsid w:val="00BA51CB"/>
    <w:rsid w:val="00BA5414"/>
    <w:rsid w:val="00BA5FCC"/>
    <w:rsid w:val="00BA6170"/>
    <w:rsid w:val="00BA6B47"/>
    <w:rsid w:val="00BA6D1A"/>
    <w:rsid w:val="00BA730B"/>
    <w:rsid w:val="00BA7384"/>
    <w:rsid w:val="00BA7385"/>
    <w:rsid w:val="00BA78C3"/>
    <w:rsid w:val="00BA7A0D"/>
    <w:rsid w:val="00BA7ED9"/>
    <w:rsid w:val="00BB082F"/>
    <w:rsid w:val="00BB1A1A"/>
    <w:rsid w:val="00BB1C63"/>
    <w:rsid w:val="00BB22A1"/>
    <w:rsid w:val="00BB258F"/>
    <w:rsid w:val="00BB2CF3"/>
    <w:rsid w:val="00BB2DF6"/>
    <w:rsid w:val="00BB30C3"/>
    <w:rsid w:val="00BB360A"/>
    <w:rsid w:val="00BB3ABF"/>
    <w:rsid w:val="00BB449B"/>
    <w:rsid w:val="00BB44F9"/>
    <w:rsid w:val="00BB47FF"/>
    <w:rsid w:val="00BB49BB"/>
    <w:rsid w:val="00BB4C5F"/>
    <w:rsid w:val="00BB4D91"/>
    <w:rsid w:val="00BB6C29"/>
    <w:rsid w:val="00BB70C0"/>
    <w:rsid w:val="00BB72CE"/>
    <w:rsid w:val="00BB75A2"/>
    <w:rsid w:val="00BB7F88"/>
    <w:rsid w:val="00BC04D9"/>
    <w:rsid w:val="00BC065C"/>
    <w:rsid w:val="00BC0BB9"/>
    <w:rsid w:val="00BC0C05"/>
    <w:rsid w:val="00BC189B"/>
    <w:rsid w:val="00BC1A13"/>
    <w:rsid w:val="00BC1B9E"/>
    <w:rsid w:val="00BC250B"/>
    <w:rsid w:val="00BC25D0"/>
    <w:rsid w:val="00BC2C85"/>
    <w:rsid w:val="00BC2EC6"/>
    <w:rsid w:val="00BC2FF1"/>
    <w:rsid w:val="00BC30AB"/>
    <w:rsid w:val="00BC3147"/>
    <w:rsid w:val="00BC4328"/>
    <w:rsid w:val="00BC497A"/>
    <w:rsid w:val="00BC5E46"/>
    <w:rsid w:val="00BC6288"/>
    <w:rsid w:val="00BC67FD"/>
    <w:rsid w:val="00BC6AA8"/>
    <w:rsid w:val="00BC718E"/>
    <w:rsid w:val="00BC71B6"/>
    <w:rsid w:val="00BC765A"/>
    <w:rsid w:val="00BC7C66"/>
    <w:rsid w:val="00BC7F18"/>
    <w:rsid w:val="00BD024C"/>
    <w:rsid w:val="00BD03D3"/>
    <w:rsid w:val="00BD04E8"/>
    <w:rsid w:val="00BD0B03"/>
    <w:rsid w:val="00BD0CAD"/>
    <w:rsid w:val="00BD1498"/>
    <w:rsid w:val="00BD16AA"/>
    <w:rsid w:val="00BD1EF9"/>
    <w:rsid w:val="00BD2FF4"/>
    <w:rsid w:val="00BD3467"/>
    <w:rsid w:val="00BD3B77"/>
    <w:rsid w:val="00BD422E"/>
    <w:rsid w:val="00BD4318"/>
    <w:rsid w:val="00BD44BF"/>
    <w:rsid w:val="00BD47F1"/>
    <w:rsid w:val="00BD48A7"/>
    <w:rsid w:val="00BD4FF4"/>
    <w:rsid w:val="00BD5003"/>
    <w:rsid w:val="00BD5EB3"/>
    <w:rsid w:val="00BD63BF"/>
    <w:rsid w:val="00BD66CB"/>
    <w:rsid w:val="00BD66E3"/>
    <w:rsid w:val="00BD6FEB"/>
    <w:rsid w:val="00BD7149"/>
    <w:rsid w:val="00BD79C8"/>
    <w:rsid w:val="00BD7C79"/>
    <w:rsid w:val="00BE0101"/>
    <w:rsid w:val="00BE079A"/>
    <w:rsid w:val="00BE080D"/>
    <w:rsid w:val="00BE0978"/>
    <w:rsid w:val="00BE0B4F"/>
    <w:rsid w:val="00BE1707"/>
    <w:rsid w:val="00BE1F8A"/>
    <w:rsid w:val="00BE23E0"/>
    <w:rsid w:val="00BE2B64"/>
    <w:rsid w:val="00BE2E91"/>
    <w:rsid w:val="00BE30AE"/>
    <w:rsid w:val="00BE31FC"/>
    <w:rsid w:val="00BE3A84"/>
    <w:rsid w:val="00BE43AB"/>
    <w:rsid w:val="00BE479C"/>
    <w:rsid w:val="00BE4A2E"/>
    <w:rsid w:val="00BE54AB"/>
    <w:rsid w:val="00BE6519"/>
    <w:rsid w:val="00BF0E7C"/>
    <w:rsid w:val="00BF10CE"/>
    <w:rsid w:val="00BF1D91"/>
    <w:rsid w:val="00BF2515"/>
    <w:rsid w:val="00BF2603"/>
    <w:rsid w:val="00BF3054"/>
    <w:rsid w:val="00BF3C70"/>
    <w:rsid w:val="00BF3D15"/>
    <w:rsid w:val="00BF4555"/>
    <w:rsid w:val="00BF4E10"/>
    <w:rsid w:val="00BF4EE2"/>
    <w:rsid w:val="00BF555D"/>
    <w:rsid w:val="00BF5927"/>
    <w:rsid w:val="00BF60B4"/>
    <w:rsid w:val="00BF63F8"/>
    <w:rsid w:val="00BF739D"/>
    <w:rsid w:val="00BF783F"/>
    <w:rsid w:val="00BF78A3"/>
    <w:rsid w:val="00BF791F"/>
    <w:rsid w:val="00C0001E"/>
    <w:rsid w:val="00C00360"/>
    <w:rsid w:val="00C003DA"/>
    <w:rsid w:val="00C01052"/>
    <w:rsid w:val="00C011BD"/>
    <w:rsid w:val="00C01228"/>
    <w:rsid w:val="00C01313"/>
    <w:rsid w:val="00C01664"/>
    <w:rsid w:val="00C01D96"/>
    <w:rsid w:val="00C01FD4"/>
    <w:rsid w:val="00C022ED"/>
    <w:rsid w:val="00C0235C"/>
    <w:rsid w:val="00C027C9"/>
    <w:rsid w:val="00C02DD5"/>
    <w:rsid w:val="00C03220"/>
    <w:rsid w:val="00C03531"/>
    <w:rsid w:val="00C0388A"/>
    <w:rsid w:val="00C0409E"/>
    <w:rsid w:val="00C04130"/>
    <w:rsid w:val="00C042EE"/>
    <w:rsid w:val="00C0489D"/>
    <w:rsid w:val="00C049A7"/>
    <w:rsid w:val="00C05030"/>
    <w:rsid w:val="00C06227"/>
    <w:rsid w:val="00C06D0D"/>
    <w:rsid w:val="00C07669"/>
    <w:rsid w:val="00C1067D"/>
    <w:rsid w:val="00C10722"/>
    <w:rsid w:val="00C10A5B"/>
    <w:rsid w:val="00C10F84"/>
    <w:rsid w:val="00C122D0"/>
    <w:rsid w:val="00C122E6"/>
    <w:rsid w:val="00C13310"/>
    <w:rsid w:val="00C13FBC"/>
    <w:rsid w:val="00C159E4"/>
    <w:rsid w:val="00C15AC9"/>
    <w:rsid w:val="00C15BAE"/>
    <w:rsid w:val="00C1661F"/>
    <w:rsid w:val="00C16D53"/>
    <w:rsid w:val="00C16F1B"/>
    <w:rsid w:val="00C17159"/>
    <w:rsid w:val="00C1725B"/>
    <w:rsid w:val="00C1768C"/>
    <w:rsid w:val="00C17714"/>
    <w:rsid w:val="00C17746"/>
    <w:rsid w:val="00C177D6"/>
    <w:rsid w:val="00C1786F"/>
    <w:rsid w:val="00C2012F"/>
    <w:rsid w:val="00C20409"/>
    <w:rsid w:val="00C2055B"/>
    <w:rsid w:val="00C2178E"/>
    <w:rsid w:val="00C219F3"/>
    <w:rsid w:val="00C21E3A"/>
    <w:rsid w:val="00C2235C"/>
    <w:rsid w:val="00C226B1"/>
    <w:rsid w:val="00C22A49"/>
    <w:rsid w:val="00C232FC"/>
    <w:rsid w:val="00C23894"/>
    <w:rsid w:val="00C242AD"/>
    <w:rsid w:val="00C2434B"/>
    <w:rsid w:val="00C2451E"/>
    <w:rsid w:val="00C248C1"/>
    <w:rsid w:val="00C25395"/>
    <w:rsid w:val="00C25958"/>
    <w:rsid w:val="00C25E9F"/>
    <w:rsid w:val="00C26791"/>
    <w:rsid w:val="00C26BE7"/>
    <w:rsid w:val="00C2700C"/>
    <w:rsid w:val="00C272BB"/>
    <w:rsid w:val="00C27678"/>
    <w:rsid w:val="00C27B36"/>
    <w:rsid w:val="00C30FFA"/>
    <w:rsid w:val="00C3120B"/>
    <w:rsid w:val="00C319DE"/>
    <w:rsid w:val="00C31A85"/>
    <w:rsid w:val="00C31BB3"/>
    <w:rsid w:val="00C320A2"/>
    <w:rsid w:val="00C32301"/>
    <w:rsid w:val="00C323FD"/>
    <w:rsid w:val="00C32710"/>
    <w:rsid w:val="00C3321E"/>
    <w:rsid w:val="00C3348C"/>
    <w:rsid w:val="00C3349C"/>
    <w:rsid w:val="00C334EC"/>
    <w:rsid w:val="00C33722"/>
    <w:rsid w:val="00C339AB"/>
    <w:rsid w:val="00C33B63"/>
    <w:rsid w:val="00C349B0"/>
    <w:rsid w:val="00C35446"/>
    <w:rsid w:val="00C35733"/>
    <w:rsid w:val="00C35EA2"/>
    <w:rsid w:val="00C36B46"/>
    <w:rsid w:val="00C37720"/>
    <w:rsid w:val="00C377C4"/>
    <w:rsid w:val="00C377EF"/>
    <w:rsid w:val="00C37AC6"/>
    <w:rsid w:val="00C37CE6"/>
    <w:rsid w:val="00C37FDD"/>
    <w:rsid w:val="00C4026A"/>
    <w:rsid w:val="00C405D8"/>
    <w:rsid w:val="00C4098B"/>
    <w:rsid w:val="00C40F2F"/>
    <w:rsid w:val="00C41768"/>
    <w:rsid w:val="00C42A8D"/>
    <w:rsid w:val="00C42ED0"/>
    <w:rsid w:val="00C43E99"/>
    <w:rsid w:val="00C44622"/>
    <w:rsid w:val="00C44BED"/>
    <w:rsid w:val="00C4506C"/>
    <w:rsid w:val="00C45426"/>
    <w:rsid w:val="00C4563B"/>
    <w:rsid w:val="00C45B0E"/>
    <w:rsid w:val="00C45EF3"/>
    <w:rsid w:val="00C460D6"/>
    <w:rsid w:val="00C46C75"/>
    <w:rsid w:val="00C47074"/>
    <w:rsid w:val="00C472B0"/>
    <w:rsid w:val="00C4777F"/>
    <w:rsid w:val="00C478B9"/>
    <w:rsid w:val="00C50751"/>
    <w:rsid w:val="00C50AFD"/>
    <w:rsid w:val="00C50BDD"/>
    <w:rsid w:val="00C51C8A"/>
    <w:rsid w:val="00C53081"/>
    <w:rsid w:val="00C53187"/>
    <w:rsid w:val="00C534C4"/>
    <w:rsid w:val="00C54906"/>
    <w:rsid w:val="00C54F45"/>
    <w:rsid w:val="00C54FEB"/>
    <w:rsid w:val="00C5540A"/>
    <w:rsid w:val="00C561FC"/>
    <w:rsid w:val="00C5773C"/>
    <w:rsid w:val="00C600CB"/>
    <w:rsid w:val="00C60383"/>
    <w:rsid w:val="00C60EF4"/>
    <w:rsid w:val="00C61350"/>
    <w:rsid w:val="00C615C7"/>
    <w:rsid w:val="00C62666"/>
    <w:rsid w:val="00C62CC0"/>
    <w:rsid w:val="00C63B8B"/>
    <w:rsid w:val="00C63E44"/>
    <w:rsid w:val="00C645CE"/>
    <w:rsid w:val="00C646BF"/>
    <w:rsid w:val="00C64961"/>
    <w:rsid w:val="00C64CF9"/>
    <w:rsid w:val="00C65806"/>
    <w:rsid w:val="00C663E9"/>
    <w:rsid w:val="00C678A4"/>
    <w:rsid w:val="00C67D27"/>
    <w:rsid w:val="00C702EC"/>
    <w:rsid w:val="00C7104D"/>
    <w:rsid w:val="00C71792"/>
    <w:rsid w:val="00C72C79"/>
    <w:rsid w:val="00C734B8"/>
    <w:rsid w:val="00C74359"/>
    <w:rsid w:val="00C75ADC"/>
    <w:rsid w:val="00C75D63"/>
    <w:rsid w:val="00C761EA"/>
    <w:rsid w:val="00C7659B"/>
    <w:rsid w:val="00C76AFC"/>
    <w:rsid w:val="00C76C7B"/>
    <w:rsid w:val="00C7703A"/>
    <w:rsid w:val="00C7773C"/>
    <w:rsid w:val="00C77A20"/>
    <w:rsid w:val="00C77C3C"/>
    <w:rsid w:val="00C808A2"/>
    <w:rsid w:val="00C80C33"/>
    <w:rsid w:val="00C8133E"/>
    <w:rsid w:val="00C81B00"/>
    <w:rsid w:val="00C81D06"/>
    <w:rsid w:val="00C8211C"/>
    <w:rsid w:val="00C82220"/>
    <w:rsid w:val="00C826A1"/>
    <w:rsid w:val="00C829F1"/>
    <w:rsid w:val="00C82D73"/>
    <w:rsid w:val="00C82DDD"/>
    <w:rsid w:val="00C82E30"/>
    <w:rsid w:val="00C82E49"/>
    <w:rsid w:val="00C830DF"/>
    <w:rsid w:val="00C839F8"/>
    <w:rsid w:val="00C846BD"/>
    <w:rsid w:val="00C84B58"/>
    <w:rsid w:val="00C84CB9"/>
    <w:rsid w:val="00C84E7D"/>
    <w:rsid w:val="00C859DA"/>
    <w:rsid w:val="00C85F9E"/>
    <w:rsid w:val="00C869DC"/>
    <w:rsid w:val="00C86FD3"/>
    <w:rsid w:val="00C90145"/>
    <w:rsid w:val="00C90262"/>
    <w:rsid w:val="00C904E6"/>
    <w:rsid w:val="00C908A7"/>
    <w:rsid w:val="00C918B9"/>
    <w:rsid w:val="00C91BE2"/>
    <w:rsid w:val="00C921C6"/>
    <w:rsid w:val="00C9239B"/>
    <w:rsid w:val="00C92734"/>
    <w:rsid w:val="00C929A0"/>
    <w:rsid w:val="00C9312F"/>
    <w:rsid w:val="00C932EA"/>
    <w:rsid w:val="00C93380"/>
    <w:rsid w:val="00C93433"/>
    <w:rsid w:val="00C93B06"/>
    <w:rsid w:val="00C9597E"/>
    <w:rsid w:val="00C962DB"/>
    <w:rsid w:val="00C9688C"/>
    <w:rsid w:val="00C968EA"/>
    <w:rsid w:val="00C96F74"/>
    <w:rsid w:val="00C96FC2"/>
    <w:rsid w:val="00C97504"/>
    <w:rsid w:val="00CA00E0"/>
    <w:rsid w:val="00CA0245"/>
    <w:rsid w:val="00CA06A8"/>
    <w:rsid w:val="00CA084A"/>
    <w:rsid w:val="00CA087D"/>
    <w:rsid w:val="00CA09E7"/>
    <w:rsid w:val="00CA175C"/>
    <w:rsid w:val="00CA1B9F"/>
    <w:rsid w:val="00CA21CA"/>
    <w:rsid w:val="00CA2354"/>
    <w:rsid w:val="00CA2AE0"/>
    <w:rsid w:val="00CA2CB9"/>
    <w:rsid w:val="00CA2F31"/>
    <w:rsid w:val="00CA3092"/>
    <w:rsid w:val="00CA32E3"/>
    <w:rsid w:val="00CA3320"/>
    <w:rsid w:val="00CA3686"/>
    <w:rsid w:val="00CA3C1C"/>
    <w:rsid w:val="00CA497E"/>
    <w:rsid w:val="00CA4AB2"/>
    <w:rsid w:val="00CA5145"/>
    <w:rsid w:val="00CA51F1"/>
    <w:rsid w:val="00CA5965"/>
    <w:rsid w:val="00CA5E19"/>
    <w:rsid w:val="00CA6219"/>
    <w:rsid w:val="00CA6455"/>
    <w:rsid w:val="00CA73FD"/>
    <w:rsid w:val="00CA749F"/>
    <w:rsid w:val="00CB04BC"/>
    <w:rsid w:val="00CB05BC"/>
    <w:rsid w:val="00CB13BB"/>
    <w:rsid w:val="00CB1A15"/>
    <w:rsid w:val="00CB1E2D"/>
    <w:rsid w:val="00CB1FAA"/>
    <w:rsid w:val="00CB209A"/>
    <w:rsid w:val="00CB2753"/>
    <w:rsid w:val="00CB2C2F"/>
    <w:rsid w:val="00CB3076"/>
    <w:rsid w:val="00CB346C"/>
    <w:rsid w:val="00CB3641"/>
    <w:rsid w:val="00CB3B72"/>
    <w:rsid w:val="00CB4673"/>
    <w:rsid w:val="00CB4967"/>
    <w:rsid w:val="00CB4C57"/>
    <w:rsid w:val="00CB695F"/>
    <w:rsid w:val="00CB783A"/>
    <w:rsid w:val="00CC007F"/>
    <w:rsid w:val="00CC09EC"/>
    <w:rsid w:val="00CC15C9"/>
    <w:rsid w:val="00CC2262"/>
    <w:rsid w:val="00CC2777"/>
    <w:rsid w:val="00CC29A4"/>
    <w:rsid w:val="00CC2A36"/>
    <w:rsid w:val="00CC3366"/>
    <w:rsid w:val="00CC35A1"/>
    <w:rsid w:val="00CC3AB4"/>
    <w:rsid w:val="00CC4F47"/>
    <w:rsid w:val="00CC5283"/>
    <w:rsid w:val="00CC52CE"/>
    <w:rsid w:val="00CC5316"/>
    <w:rsid w:val="00CC5644"/>
    <w:rsid w:val="00CC568F"/>
    <w:rsid w:val="00CC56CE"/>
    <w:rsid w:val="00CC6015"/>
    <w:rsid w:val="00CC62EF"/>
    <w:rsid w:val="00CC68CE"/>
    <w:rsid w:val="00CC6A5C"/>
    <w:rsid w:val="00CC6D54"/>
    <w:rsid w:val="00CC6E46"/>
    <w:rsid w:val="00CC7543"/>
    <w:rsid w:val="00CC77E9"/>
    <w:rsid w:val="00CD0357"/>
    <w:rsid w:val="00CD0DC8"/>
    <w:rsid w:val="00CD10D0"/>
    <w:rsid w:val="00CD1C31"/>
    <w:rsid w:val="00CD1DB1"/>
    <w:rsid w:val="00CD24A2"/>
    <w:rsid w:val="00CD2AE0"/>
    <w:rsid w:val="00CD2B8F"/>
    <w:rsid w:val="00CD3243"/>
    <w:rsid w:val="00CD350F"/>
    <w:rsid w:val="00CD36BD"/>
    <w:rsid w:val="00CD36F5"/>
    <w:rsid w:val="00CD370D"/>
    <w:rsid w:val="00CD3782"/>
    <w:rsid w:val="00CD406A"/>
    <w:rsid w:val="00CD4130"/>
    <w:rsid w:val="00CD45FA"/>
    <w:rsid w:val="00CD5455"/>
    <w:rsid w:val="00CD54DC"/>
    <w:rsid w:val="00CD565B"/>
    <w:rsid w:val="00CD5A0E"/>
    <w:rsid w:val="00CD6182"/>
    <w:rsid w:val="00CD6A29"/>
    <w:rsid w:val="00CD7160"/>
    <w:rsid w:val="00CD7265"/>
    <w:rsid w:val="00CE074A"/>
    <w:rsid w:val="00CE1E30"/>
    <w:rsid w:val="00CE26E1"/>
    <w:rsid w:val="00CE3372"/>
    <w:rsid w:val="00CE3539"/>
    <w:rsid w:val="00CE37DD"/>
    <w:rsid w:val="00CE3C36"/>
    <w:rsid w:val="00CE42CA"/>
    <w:rsid w:val="00CE4AF7"/>
    <w:rsid w:val="00CE50EF"/>
    <w:rsid w:val="00CE697D"/>
    <w:rsid w:val="00CE6C36"/>
    <w:rsid w:val="00CE7984"/>
    <w:rsid w:val="00CE7E1A"/>
    <w:rsid w:val="00CF1185"/>
    <w:rsid w:val="00CF1415"/>
    <w:rsid w:val="00CF14A0"/>
    <w:rsid w:val="00CF2545"/>
    <w:rsid w:val="00CF2FB0"/>
    <w:rsid w:val="00CF3036"/>
    <w:rsid w:val="00CF3141"/>
    <w:rsid w:val="00CF3D14"/>
    <w:rsid w:val="00CF3DFE"/>
    <w:rsid w:val="00CF3F1D"/>
    <w:rsid w:val="00CF4041"/>
    <w:rsid w:val="00CF408D"/>
    <w:rsid w:val="00CF4092"/>
    <w:rsid w:val="00CF4674"/>
    <w:rsid w:val="00CF5533"/>
    <w:rsid w:val="00CF6600"/>
    <w:rsid w:val="00CF6AA0"/>
    <w:rsid w:val="00CF6BC4"/>
    <w:rsid w:val="00CF704E"/>
    <w:rsid w:val="00CF7466"/>
    <w:rsid w:val="00CF74BA"/>
    <w:rsid w:val="00CF7544"/>
    <w:rsid w:val="00CF785B"/>
    <w:rsid w:val="00CF7CA1"/>
    <w:rsid w:val="00D00209"/>
    <w:rsid w:val="00D0049A"/>
    <w:rsid w:val="00D00612"/>
    <w:rsid w:val="00D00655"/>
    <w:rsid w:val="00D00EDA"/>
    <w:rsid w:val="00D0133D"/>
    <w:rsid w:val="00D01740"/>
    <w:rsid w:val="00D01A13"/>
    <w:rsid w:val="00D01DA9"/>
    <w:rsid w:val="00D01EA0"/>
    <w:rsid w:val="00D01F58"/>
    <w:rsid w:val="00D02139"/>
    <w:rsid w:val="00D028A8"/>
    <w:rsid w:val="00D02D7E"/>
    <w:rsid w:val="00D031B8"/>
    <w:rsid w:val="00D0329E"/>
    <w:rsid w:val="00D03401"/>
    <w:rsid w:val="00D0365D"/>
    <w:rsid w:val="00D03D93"/>
    <w:rsid w:val="00D0566F"/>
    <w:rsid w:val="00D0599C"/>
    <w:rsid w:val="00D05AA0"/>
    <w:rsid w:val="00D069E4"/>
    <w:rsid w:val="00D0717A"/>
    <w:rsid w:val="00D078FE"/>
    <w:rsid w:val="00D07AD0"/>
    <w:rsid w:val="00D07B24"/>
    <w:rsid w:val="00D07C9D"/>
    <w:rsid w:val="00D105AD"/>
    <w:rsid w:val="00D1084C"/>
    <w:rsid w:val="00D10D87"/>
    <w:rsid w:val="00D10E80"/>
    <w:rsid w:val="00D1178D"/>
    <w:rsid w:val="00D11791"/>
    <w:rsid w:val="00D11B70"/>
    <w:rsid w:val="00D11BE6"/>
    <w:rsid w:val="00D12089"/>
    <w:rsid w:val="00D12B23"/>
    <w:rsid w:val="00D12F00"/>
    <w:rsid w:val="00D130A1"/>
    <w:rsid w:val="00D1341A"/>
    <w:rsid w:val="00D13DD5"/>
    <w:rsid w:val="00D1413E"/>
    <w:rsid w:val="00D14956"/>
    <w:rsid w:val="00D15278"/>
    <w:rsid w:val="00D15B15"/>
    <w:rsid w:val="00D1685B"/>
    <w:rsid w:val="00D16C5A"/>
    <w:rsid w:val="00D17236"/>
    <w:rsid w:val="00D17B5D"/>
    <w:rsid w:val="00D20AC1"/>
    <w:rsid w:val="00D21214"/>
    <w:rsid w:val="00D2183A"/>
    <w:rsid w:val="00D22100"/>
    <w:rsid w:val="00D22C24"/>
    <w:rsid w:val="00D23249"/>
    <w:rsid w:val="00D23CB4"/>
    <w:rsid w:val="00D23F36"/>
    <w:rsid w:val="00D2405C"/>
    <w:rsid w:val="00D241DA"/>
    <w:rsid w:val="00D253E0"/>
    <w:rsid w:val="00D25585"/>
    <w:rsid w:val="00D27B62"/>
    <w:rsid w:val="00D3072C"/>
    <w:rsid w:val="00D30A11"/>
    <w:rsid w:val="00D30DFA"/>
    <w:rsid w:val="00D30E6B"/>
    <w:rsid w:val="00D30F22"/>
    <w:rsid w:val="00D30F97"/>
    <w:rsid w:val="00D3112E"/>
    <w:rsid w:val="00D316DA"/>
    <w:rsid w:val="00D31975"/>
    <w:rsid w:val="00D31DF4"/>
    <w:rsid w:val="00D31F5A"/>
    <w:rsid w:val="00D32044"/>
    <w:rsid w:val="00D32455"/>
    <w:rsid w:val="00D324CD"/>
    <w:rsid w:val="00D3257C"/>
    <w:rsid w:val="00D329FB"/>
    <w:rsid w:val="00D33668"/>
    <w:rsid w:val="00D338AE"/>
    <w:rsid w:val="00D33BFD"/>
    <w:rsid w:val="00D33CF1"/>
    <w:rsid w:val="00D340E0"/>
    <w:rsid w:val="00D34488"/>
    <w:rsid w:val="00D34955"/>
    <w:rsid w:val="00D34A5C"/>
    <w:rsid w:val="00D34D97"/>
    <w:rsid w:val="00D34E24"/>
    <w:rsid w:val="00D358DF"/>
    <w:rsid w:val="00D35C0C"/>
    <w:rsid w:val="00D35FC6"/>
    <w:rsid w:val="00D361D4"/>
    <w:rsid w:val="00D36702"/>
    <w:rsid w:val="00D36A6C"/>
    <w:rsid w:val="00D36D53"/>
    <w:rsid w:val="00D374CC"/>
    <w:rsid w:val="00D3775E"/>
    <w:rsid w:val="00D37AC1"/>
    <w:rsid w:val="00D37B7F"/>
    <w:rsid w:val="00D4016C"/>
    <w:rsid w:val="00D402EF"/>
    <w:rsid w:val="00D4056F"/>
    <w:rsid w:val="00D409BC"/>
    <w:rsid w:val="00D415A1"/>
    <w:rsid w:val="00D41AA4"/>
    <w:rsid w:val="00D4264C"/>
    <w:rsid w:val="00D42E58"/>
    <w:rsid w:val="00D43545"/>
    <w:rsid w:val="00D437B6"/>
    <w:rsid w:val="00D43C32"/>
    <w:rsid w:val="00D46905"/>
    <w:rsid w:val="00D476B4"/>
    <w:rsid w:val="00D477C7"/>
    <w:rsid w:val="00D50D11"/>
    <w:rsid w:val="00D50F20"/>
    <w:rsid w:val="00D50FAD"/>
    <w:rsid w:val="00D51469"/>
    <w:rsid w:val="00D51499"/>
    <w:rsid w:val="00D5161D"/>
    <w:rsid w:val="00D529EC"/>
    <w:rsid w:val="00D52EEA"/>
    <w:rsid w:val="00D5381F"/>
    <w:rsid w:val="00D53FC1"/>
    <w:rsid w:val="00D54466"/>
    <w:rsid w:val="00D546D0"/>
    <w:rsid w:val="00D5591F"/>
    <w:rsid w:val="00D5698A"/>
    <w:rsid w:val="00D56F17"/>
    <w:rsid w:val="00D572BD"/>
    <w:rsid w:val="00D573BB"/>
    <w:rsid w:val="00D57B46"/>
    <w:rsid w:val="00D57BFA"/>
    <w:rsid w:val="00D57CD7"/>
    <w:rsid w:val="00D60A51"/>
    <w:rsid w:val="00D60C00"/>
    <w:rsid w:val="00D60EC1"/>
    <w:rsid w:val="00D612AE"/>
    <w:rsid w:val="00D61D7A"/>
    <w:rsid w:val="00D624F4"/>
    <w:rsid w:val="00D62955"/>
    <w:rsid w:val="00D62BEA"/>
    <w:rsid w:val="00D64C5D"/>
    <w:rsid w:val="00D6543D"/>
    <w:rsid w:val="00D654B7"/>
    <w:rsid w:val="00D65546"/>
    <w:rsid w:val="00D65E1F"/>
    <w:rsid w:val="00D67127"/>
    <w:rsid w:val="00D6767B"/>
    <w:rsid w:val="00D67C6B"/>
    <w:rsid w:val="00D67F58"/>
    <w:rsid w:val="00D70039"/>
    <w:rsid w:val="00D7003D"/>
    <w:rsid w:val="00D70756"/>
    <w:rsid w:val="00D71056"/>
    <w:rsid w:val="00D719F4"/>
    <w:rsid w:val="00D71B04"/>
    <w:rsid w:val="00D71DCC"/>
    <w:rsid w:val="00D72433"/>
    <w:rsid w:val="00D7243A"/>
    <w:rsid w:val="00D72FA7"/>
    <w:rsid w:val="00D733C2"/>
    <w:rsid w:val="00D733DD"/>
    <w:rsid w:val="00D73CBE"/>
    <w:rsid w:val="00D73F1E"/>
    <w:rsid w:val="00D74E65"/>
    <w:rsid w:val="00D74ECD"/>
    <w:rsid w:val="00D75F53"/>
    <w:rsid w:val="00D762BB"/>
    <w:rsid w:val="00D76C2A"/>
    <w:rsid w:val="00D76D13"/>
    <w:rsid w:val="00D776B7"/>
    <w:rsid w:val="00D778F3"/>
    <w:rsid w:val="00D77920"/>
    <w:rsid w:val="00D77BB1"/>
    <w:rsid w:val="00D77D33"/>
    <w:rsid w:val="00D77E83"/>
    <w:rsid w:val="00D804F5"/>
    <w:rsid w:val="00D8096B"/>
    <w:rsid w:val="00D814C5"/>
    <w:rsid w:val="00D8158E"/>
    <w:rsid w:val="00D81F1A"/>
    <w:rsid w:val="00D82756"/>
    <w:rsid w:val="00D82AC6"/>
    <w:rsid w:val="00D82B50"/>
    <w:rsid w:val="00D82BE2"/>
    <w:rsid w:val="00D82E0C"/>
    <w:rsid w:val="00D83926"/>
    <w:rsid w:val="00D84D49"/>
    <w:rsid w:val="00D85777"/>
    <w:rsid w:val="00D85DC4"/>
    <w:rsid w:val="00D86B72"/>
    <w:rsid w:val="00D86BF5"/>
    <w:rsid w:val="00D86CAE"/>
    <w:rsid w:val="00D86D24"/>
    <w:rsid w:val="00D871FB"/>
    <w:rsid w:val="00D9009D"/>
    <w:rsid w:val="00D90186"/>
    <w:rsid w:val="00D90656"/>
    <w:rsid w:val="00D908DA"/>
    <w:rsid w:val="00D90DB7"/>
    <w:rsid w:val="00D911BA"/>
    <w:rsid w:val="00D91546"/>
    <w:rsid w:val="00D92216"/>
    <w:rsid w:val="00D92492"/>
    <w:rsid w:val="00D9278B"/>
    <w:rsid w:val="00D92C5C"/>
    <w:rsid w:val="00D936CD"/>
    <w:rsid w:val="00D93B1E"/>
    <w:rsid w:val="00D93BFD"/>
    <w:rsid w:val="00D942A1"/>
    <w:rsid w:val="00D96360"/>
    <w:rsid w:val="00D964E3"/>
    <w:rsid w:val="00D968F9"/>
    <w:rsid w:val="00D9697F"/>
    <w:rsid w:val="00D973DE"/>
    <w:rsid w:val="00D97A2B"/>
    <w:rsid w:val="00D97D47"/>
    <w:rsid w:val="00D97F2E"/>
    <w:rsid w:val="00DA079E"/>
    <w:rsid w:val="00DA0994"/>
    <w:rsid w:val="00DA0AF0"/>
    <w:rsid w:val="00DA2AF4"/>
    <w:rsid w:val="00DA2E91"/>
    <w:rsid w:val="00DA3D6A"/>
    <w:rsid w:val="00DA4151"/>
    <w:rsid w:val="00DA462C"/>
    <w:rsid w:val="00DA4C23"/>
    <w:rsid w:val="00DA4EB8"/>
    <w:rsid w:val="00DA4FF1"/>
    <w:rsid w:val="00DA532A"/>
    <w:rsid w:val="00DA5C03"/>
    <w:rsid w:val="00DA5CB5"/>
    <w:rsid w:val="00DA6538"/>
    <w:rsid w:val="00DA78EF"/>
    <w:rsid w:val="00DA7A65"/>
    <w:rsid w:val="00DB042E"/>
    <w:rsid w:val="00DB0C46"/>
    <w:rsid w:val="00DB0C7E"/>
    <w:rsid w:val="00DB10E0"/>
    <w:rsid w:val="00DB21AC"/>
    <w:rsid w:val="00DB473D"/>
    <w:rsid w:val="00DB4B8F"/>
    <w:rsid w:val="00DB4D3F"/>
    <w:rsid w:val="00DB5456"/>
    <w:rsid w:val="00DB5F97"/>
    <w:rsid w:val="00DB6098"/>
    <w:rsid w:val="00DB67DA"/>
    <w:rsid w:val="00DB6899"/>
    <w:rsid w:val="00DB6D65"/>
    <w:rsid w:val="00DC0260"/>
    <w:rsid w:val="00DC0CEC"/>
    <w:rsid w:val="00DC0FD1"/>
    <w:rsid w:val="00DC1046"/>
    <w:rsid w:val="00DC19F7"/>
    <w:rsid w:val="00DC2D1C"/>
    <w:rsid w:val="00DC2D5C"/>
    <w:rsid w:val="00DC2E1C"/>
    <w:rsid w:val="00DC378C"/>
    <w:rsid w:val="00DC40BC"/>
    <w:rsid w:val="00DC43C9"/>
    <w:rsid w:val="00DC48D0"/>
    <w:rsid w:val="00DC5A63"/>
    <w:rsid w:val="00DC5AEF"/>
    <w:rsid w:val="00DC5C20"/>
    <w:rsid w:val="00DC62C7"/>
    <w:rsid w:val="00DC63F4"/>
    <w:rsid w:val="00DC6731"/>
    <w:rsid w:val="00DC6BBB"/>
    <w:rsid w:val="00DC6D87"/>
    <w:rsid w:val="00DC731C"/>
    <w:rsid w:val="00DD05DB"/>
    <w:rsid w:val="00DD071C"/>
    <w:rsid w:val="00DD0CF6"/>
    <w:rsid w:val="00DD0D53"/>
    <w:rsid w:val="00DD14CA"/>
    <w:rsid w:val="00DD1C5E"/>
    <w:rsid w:val="00DD2602"/>
    <w:rsid w:val="00DD276C"/>
    <w:rsid w:val="00DD2895"/>
    <w:rsid w:val="00DD2FB4"/>
    <w:rsid w:val="00DD32FC"/>
    <w:rsid w:val="00DD3946"/>
    <w:rsid w:val="00DD3DC6"/>
    <w:rsid w:val="00DD414C"/>
    <w:rsid w:val="00DD5C28"/>
    <w:rsid w:val="00DD5F1F"/>
    <w:rsid w:val="00DD6878"/>
    <w:rsid w:val="00DD6AFA"/>
    <w:rsid w:val="00DD6C6E"/>
    <w:rsid w:val="00DD6F2B"/>
    <w:rsid w:val="00DD720A"/>
    <w:rsid w:val="00DD72AC"/>
    <w:rsid w:val="00DE08DE"/>
    <w:rsid w:val="00DE095D"/>
    <w:rsid w:val="00DE0D00"/>
    <w:rsid w:val="00DE0DAC"/>
    <w:rsid w:val="00DE1D84"/>
    <w:rsid w:val="00DE1DC8"/>
    <w:rsid w:val="00DE1F20"/>
    <w:rsid w:val="00DE2526"/>
    <w:rsid w:val="00DE2ACD"/>
    <w:rsid w:val="00DE3536"/>
    <w:rsid w:val="00DE3674"/>
    <w:rsid w:val="00DE3AF1"/>
    <w:rsid w:val="00DE3E53"/>
    <w:rsid w:val="00DE3FAA"/>
    <w:rsid w:val="00DE4183"/>
    <w:rsid w:val="00DE45BA"/>
    <w:rsid w:val="00DE47F9"/>
    <w:rsid w:val="00DE4904"/>
    <w:rsid w:val="00DE5DA1"/>
    <w:rsid w:val="00DE603A"/>
    <w:rsid w:val="00DE634B"/>
    <w:rsid w:val="00DE6A13"/>
    <w:rsid w:val="00DE6F00"/>
    <w:rsid w:val="00DF0158"/>
    <w:rsid w:val="00DF02E3"/>
    <w:rsid w:val="00DF07D5"/>
    <w:rsid w:val="00DF1C33"/>
    <w:rsid w:val="00DF2F5B"/>
    <w:rsid w:val="00DF324C"/>
    <w:rsid w:val="00DF3A68"/>
    <w:rsid w:val="00DF3A76"/>
    <w:rsid w:val="00DF3BD2"/>
    <w:rsid w:val="00DF3C8A"/>
    <w:rsid w:val="00DF450F"/>
    <w:rsid w:val="00DF4B60"/>
    <w:rsid w:val="00DF4C94"/>
    <w:rsid w:val="00DF4CAD"/>
    <w:rsid w:val="00DF4DB0"/>
    <w:rsid w:val="00DF5282"/>
    <w:rsid w:val="00DF55D6"/>
    <w:rsid w:val="00DF56F8"/>
    <w:rsid w:val="00DF591C"/>
    <w:rsid w:val="00DF5F3D"/>
    <w:rsid w:val="00DF6831"/>
    <w:rsid w:val="00DF7635"/>
    <w:rsid w:val="00E001F8"/>
    <w:rsid w:val="00E003AA"/>
    <w:rsid w:val="00E006FE"/>
    <w:rsid w:val="00E0094C"/>
    <w:rsid w:val="00E00BAE"/>
    <w:rsid w:val="00E01DE8"/>
    <w:rsid w:val="00E01F87"/>
    <w:rsid w:val="00E0220B"/>
    <w:rsid w:val="00E02513"/>
    <w:rsid w:val="00E02A63"/>
    <w:rsid w:val="00E030D4"/>
    <w:rsid w:val="00E0356D"/>
    <w:rsid w:val="00E03EBE"/>
    <w:rsid w:val="00E03F3B"/>
    <w:rsid w:val="00E042F4"/>
    <w:rsid w:val="00E043ED"/>
    <w:rsid w:val="00E0460D"/>
    <w:rsid w:val="00E04878"/>
    <w:rsid w:val="00E04A9C"/>
    <w:rsid w:val="00E05117"/>
    <w:rsid w:val="00E05772"/>
    <w:rsid w:val="00E059D5"/>
    <w:rsid w:val="00E05BC5"/>
    <w:rsid w:val="00E05E0F"/>
    <w:rsid w:val="00E06874"/>
    <w:rsid w:val="00E07245"/>
    <w:rsid w:val="00E07690"/>
    <w:rsid w:val="00E07E55"/>
    <w:rsid w:val="00E100C9"/>
    <w:rsid w:val="00E105DA"/>
    <w:rsid w:val="00E114AE"/>
    <w:rsid w:val="00E12BA0"/>
    <w:rsid w:val="00E12C70"/>
    <w:rsid w:val="00E13154"/>
    <w:rsid w:val="00E13228"/>
    <w:rsid w:val="00E1345B"/>
    <w:rsid w:val="00E1399F"/>
    <w:rsid w:val="00E140D8"/>
    <w:rsid w:val="00E1412A"/>
    <w:rsid w:val="00E14971"/>
    <w:rsid w:val="00E15054"/>
    <w:rsid w:val="00E1509A"/>
    <w:rsid w:val="00E15476"/>
    <w:rsid w:val="00E15528"/>
    <w:rsid w:val="00E15565"/>
    <w:rsid w:val="00E158FA"/>
    <w:rsid w:val="00E15A13"/>
    <w:rsid w:val="00E16170"/>
    <w:rsid w:val="00E16E5D"/>
    <w:rsid w:val="00E17054"/>
    <w:rsid w:val="00E171BA"/>
    <w:rsid w:val="00E176BF"/>
    <w:rsid w:val="00E200ED"/>
    <w:rsid w:val="00E203BF"/>
    <w:rsid w:val="00E209FC"/>
    <w:rsid w:val="00E21760"/>
    <w:rsid w:val="00E217F0"/>
    <w:rsid w:val="00E219F4"/>
    <w:rsid w:val="00E24603"/>
    <w:rsid w:val="00E246C2"/>
    <w:rsid w:val="00E248CF"/>
    <w:rsid w:val="00E25B6F"/>
    <w:rsid w:val="00E25CDB"/>
    <w:rsid w:val="00E25FFD"/>
    <w:rsid w:val="00E26292"/>
    <w:rsid w:val="00E26798"/>
    <w:rsid w:val="00E26C2D"/>
    <w:rsid w:val="00E275EF"/>
    <w:rsid w:val="00E306C1"/>
    <w:rsid w:val="00E306EF"/>
    <w:rsid w:val="00E30D7B"/>
    <w:rsid w:val="00E3135D"/>
    <w:rsid w:val="00E313CD"/>
    <w:rsid w:val="00E317AB"/>
    <w:rsid w:val="00E31E59"/>
    <w:rsid w:val="00E32064"/>
    <w:rsid w:val="00E32274"/>
    <w:rsid w:val="00E32A79"/>
    <w:rsid w:val="00E331E0"/>
    <w:rsid w:val="00E343AB"/>
    <w:rsid w:val="00E3442A"/>
    <w:rsid w:val="00E34A58"/>
    <w:rsid w:val="00E34C1C"/>
    <w:rsid w:val="00E35756"/>
    <w:rsid w:val="00E364C0"/>
    <w:rsid w:val="00E3655C"/>
    <w:rsid w:val="00E369F5"/>
    <w:rsid w:val="00E374E3"/>
    <w:rsid w:val="00E37507"/>
    <w:rsid w:val="00E37E60"/>
    <w:rsid w:val="00E40EB0"/>
    <w:rsid w:val="00E4120C"/>
    <w:rsid w:val="00E4249A"/>
    <w:rsid w:val="00E42528"/>
    <w:rsid w:val="00E42B40"/>
    <w:rsid w:val="00E436F5"/>
    <w:rsid w:val="00E4377B"/>
    <w:rsid w:val="00E43859"/>
    <w:rsid w:val="00E4385D"/>
    <w:rsid w:val="00E4392F"/>
    <w:rsid w:val="00E43B34"/>
    <w:rsid w:val="00E443E1"/>
    <w:rsid w:val="00E4466B"/>
    <w:rsid w:val="00E44706"/>
    <w:rsid w:val="00E45ACE"/>
    <w:rsid w:val="00E46AEE"/>
    <w:rsid w:val="00E47C78"/>
    <w:rsid w:val="00E50115"/>
    <w:rsid w:val="00E5034A"/>
    <w:rsid w:val="00E51A8C"/>
    <w:rsid w:val="00E51E9A"/>
    <w:rsid w:val="00E52331"/>
    <w:rsid w:val="00E524BB"/>
    <w:rsid w:val="00E52D2C"/>
    <w:rsid w:val="00E53B81"/>
    <w:rsid w:val="00E53D17"/>
    <w:rsid w:val="00E53E1F"/>
    <w:rsid w:val="00E546F1"/>
    <w:rsid w:val="00E56555"/>
    <w:rsid w:val="00E57094"/>
    <w:rsid w:val="00E57473"/>
    <w:rsid w:val="00E5751D"/>
    <w:rsid w:val="00E6018E"/>
    <w:rsid w:val="00E6034A"/>
    <w:rsid w:val="00E604B5"/>
    <w:rsid w:val="00E60AC5"/>
    <w:rsid w:val="00E60B63"/>
    <w:rsid w:val="00E611B5"/>
    <w:rsid w:val="00E61701"/>
    <w:rsid w:val="00E62856"/>
    <w:rsid w:val="00E63B7B"/>
    <w:rsid w:val="00E649E1"/>
    <w:rsid w:val="00E64F2D"/>
    <w:rsid w:val="00E65463"/>
    <w:rsid w:val="00E65BD9"/>
    <w:rsid w:val="00E65C03"/>
    <w:rsid w:val="00E65F87"/>
    <w:rsid w:val="00E66230"/>
    <w:rsid w:val="00E6653E"/>
    <w:rsid w:val="00E66897"/>
    <w:rsid w:val="00E66B83"/>
    <w:rsid w:val="00E66D6F"/>
    <w:rsid w:val="00E675FE"/>
    <w:rsid w:val="00E7055F"/>
    <w:rsid w:val="00E70BB7"/>
    <w:rsid w:val="00E717B2"/>
    <w:rsid w:val="00E71A98"/>
    <w:rsid w:val="00E71AC6"/>
    <w:rsid w:val="00E72061"/>
    <w:rsid w:val="00E728CB"/>
    <w:rsid w:val="00E73850"/>
    <w:rsid w:val="00E73D26"/>
    <w:rsid w:val="00E7448E"/>
    <w:rsid w:val="00E7486E"/>
    <w:rsid w:val="00E751C1"/>
    <w:rsid w:val="00E75993"/>
    <w:rsid w:val="00E75B6C"/>
    <w:rsid w:val="00E7604D"/>
    <w:rsid w:val="00E7669F"/>
    <w:rsid w:val="00E76BBB"/>
    <w:rsid w:val="00E76D92"/>
    <w:rsid w:val="00E76ECD"/>
    <w:rsid w:val="00E77DD1"/>
    <w:rsid w:val="00E77F69"/>
    <w:rsid w:val="00E77F71"/>
    <w:rsid w:val="00E8023C"/>
    <w:rsid w:val="00E80D44"/>
    <w:rsid w:val="00E81181"/>
    <w:rsid w:val="00E815E8"/>
    <w:rsid w:val="00E81F33"/>
    <w:rsid w:val="00E8223F"/>
    <w:rsid w:val="00E82BDD"/>
    <w:rsid w:val="00E82C74"/>
    <w:rsid w:val="00E82CE6"/>
    <w:rsid w:val="00E82EFB"/>
    <w:rsid w:val="00E834AC"/>
    <w:rsid w:val="00E8394A"/>
    <w:rsid w:val="00E84994"/>
    <w:rsid w:val="00E84B99"/>
    <w:rsid w:val="00E84EB1"/>
    <w:rsid w:val="00E84EDA"/>
    <w:rsid w:val="00E8543A"/>
    <w:rsid w:val="00E8650A"/>
    <w:rsid w:val="00E86C2D"/>
    <w:rsid w:val="00E86F30"/>
    <w:rsid w:val="00E876A9"/>
    <w:rsid w:val="00E87815"/>
    <w:rsid w:val="00E90884"/>
    <w:rsid w:val="00E9091E"/>
    <w:rsid w:val="00E9098D"/>
    <w:rsid w:val="00E90D57"/>
    <w:rsid w:val="00E914FD"/>
    <w:rsid w:val="00E9183D"/>
    <w:rsid w:val="00E91E3C"/>
    <w:rsid w:val="00E91F02"/>
    <w:rsid w:val="00E927BC"/>
    <w:rsid w:val="00E92917"/>
    <w:rsid w:val="00E92F23"/>
    <w:rsid w:val="00E936FB"/>
    <w:rsid w:val="00E94599"/>
    <w:rsid w:val="00E94620"/>
    <w:rsid w:val="00E9494E"/>
    <w:rsid w:val="00E94980"/>
    <w:rsid w:val="00E969B1"/>
    <w:rsid w:val="00E96E46"/>
    <w:rsid w:val="00E972B8"/>
    <w:rsid w:val="00EA0199"/>
    <w:rsid w:val="00EA03C0"/>
    <w:rsid w:val="00EA0E74"/>
    <w:rsid w:val="00EA10D0"/>
    <w:rsid w:val="00EA1C4D"/>
    <w:rsid w:val="00EA2095"/>
    <w:rsid w:val="00EA20BF"/>
    <w:rsid w:val="00EA2126"/>
    <w:rsid w:val="00EA264A"/>
    <w:rsid w:val="00EA2835"/>
    <w:rsid w:val="00EA2972"/>
    <w:rsid w:val="00EA2C59"/>
    <w:rsid w:val="00EA34D0"/>
    <w:rsid w:val="00EA360F"/>
    <w:rsid w:val="00EA397F"/>
    <w:rsid w:val="00EA406C"/>
    <w:rsid w:val="00EA44AF"/>
    <w:rsid w:val="00EA479A"/>
    <w:rsid w:val="00EA5676"/>
    <w:rsid w:val="00EA62D8"/>
    <w:rsid w:val="00EA665D"/>
    <w:rsid w:val="00EA6942"/>
    <w:rsid w:val="00EA69EA"/>
    <w:rsid w:val="00EA73D1"/>
    <w:rsid w:val="00EB022A"/>
    <w:rsid w:val="00EB0863"/>
    <w:rsid w:val="00EB0BC4"/>
    <w:rsid w:val="00EB1408"/>
    <w:rsid w:val="00EB1585"/>
    <w:rsid w:val="00EB171F"/>
    <w:rsid w:val="00EB1789"/>
    <w:rsid w:val="00EB1CA4"/>
    <w:rsid w:val="00EB1ECF"/>
    <w:rsid w:val="00EB2451"/>
    <w:rsid w:val="00EB2671"/>
    <w:rsid w:val="00EB287A"/>
    <w:rsid w:val="00EB332E"/>
    <w:rsid w:val="00EB3D48"/>
    <w:rsid w:val="00EB3E8B"/>
    <w:rsid w:val="00EB401F"/>
    <w:rsid w:val="00EB4A05"/>
    <w:rsid w:val="00EB4AD8"/>
    <w:rsid w:val="00EB5102"/>
    <w:rsid w:val="00EB5387"/>
    <w:rsid w:val="00EB543D"/>
    <w:rsid w:val="00EB62AF"/>
    <w:rsid w:val="00EB6652"/>
    <w:rsid w:val="00EB6A66"/>
    <w:rsid w:val="00EB6A77"/>
    <w:rsid w:val="00EB6DB5"/>
    <w:rsid w:val="00EB79B8"/>
    <w:rsid w:val="00EB7ADB"/>
    <w:rsid w:val="00EB7B7D"/>
    <w:rsid w:val="00EC0630"/>
    <w:rsid w:val="00EC106E"/>
    <w:rsid w:val="00EC11DC"/>
    <w:rsid w:val="00EC1337"/>
    <w:rsid w:val="00EC1472"/>
    <w:rsid w:val="00EC1791"/>
    <w:rsid w:val="00EC1A7E"/>
    <w:rsid w:val="00EC1E97"/>
    <w:rsid w:val="00EC443E"/>
    <w:rsid w:val="00EC46C3"/>
    <w:rsid w:val="00EC502F"/>
    <w:rsid w:val="00EC52D3"/>
    <w:rsid w:val="00EC577C"/>
    <w:rsid w:val="00EC5AAF"/>
    <w:rsid w:val="00EC5CBF"/>
    <w:rsid w:val="00EC6106"/>
    <w:rsid w:val="00EC6322"/>
    <w:rsid w:val="00EC6497"/>
    <w:rsid w:val="00EC6E4D"/>
    <w:rsid w:val="00EC6EE0"/>
    <w:rsid w:val="00EC76A4"/>
    <w:rsid w:val="00EC78C0"/>
    <w:rsid w:val="00ED0B3A"/>
    <w:rsid w:val="00ED117B"/>
    <w:rsid w:val="00ED14F5"/>
    <w:rsid w:val="00ED1ACB"/>
    <w:rsid w:val="00ED1C97"/>
    <w:rsid w:val="00ED2081"/>
    <w:rsid w:val="00ED216B"/>
    <w:rsid w:val="00ED2260"/>
    <w:rsid w:val="00ED2554"/>
    <w:rsid w:val="00ED2831"/>
    <w:rsid w:val="00ED2CC1"/>
    <w:rsid w:val="00ED2F44"/>
    <w:rsid w:val="00ED3066"/>
    <w:rsid w:val="00ED370A"/>
    <w:rsid w:val="00ED37C3"/>
    <w:rsid w:val="00ED44CB"/>
    <w:rsid w:val="00ED49DA"/>
    <w:rsid w:val="00ED50E2"/>
    <w:rsid w:val="00ED515C"/>
    <w:rsid w:val="00ED55D0"/>
    <w:rsid w:val="00ED5699"/>
    <w:rsid w:val="00ED654E"/>
    <w:rsid w:val="00ED751F"/>
    <w:rsid w:val="00ED790A"/>
    <w:rsid w:val="00ED7912"/>
    <w:rsid w:val="00EE031A"/>
    <w:rsid w:val="00EE0682"/>
    <w:rsid w:val="00EE083B"/>
    <w:rsid w:val="00EE0A76"/>
    <w:rsid w:val="00EE0ECA"/>
    <w:rsid w:val="00EE2231"/>
    <w:rsid w:val="00EE25CE"/>
    <w:rsid w:val="00EE3C05"/>
    <w:rsid w:val="00EE46F4"/>
    <w:rsid w:val="00EE5320"/>
    <w:rsid w:val="00EE579F"/>
    <w:rsid w:val="00EE5E8F"/>
    <w:rsid w:val="00EE6059"/>
    <w:rsid w:val="00EE6971"/>
    <w:rsid w:val="00EE6E1D"/>
    <w:rsid w:val="00EE6F9F"/>
    <w:rsid w:val="00EE7214"/>
    <w:rsid w:val="00EE77BC"/>
    <w:rsid w:val="00EE7C43"/>
    <w:rsid w:val="00EF0CA8"/>
    <w:rsid w:val="00EF0E8B"/>
    <w:rsid w:val="00EF1070"/>
    <w:rsid w:val="00EF1287"/>
    <w:rsid w:val="00EF1684"/>
    <w:rsid w:val="00EF2319"/>
    <w:rsid w:val="00EF2B8E"/>
    <w:rsid w:val="00EF30BA"/>
    <w:rsid w:val="00EF3DC0"/>
    <w:rsid w:val="00EF4C6C"/>
    <w:rsid w:val="00EF4CDA"/>
    <w:rsid w:val="00EF4F66"/>
    <w:rsid w:val="00EF5ED8"/>
    <w:rsid w:val="00EF6548"/>
    <w:rsid w:val="00EF6963"/>
    <w:rsid w:val="00EF7256"/>
    <w:rsid w:val="00EF7565"/>
    <w:rsid w:val="00EF7D90"/>
    <w:rsid w:val="00F000E0"/>
    <w:rsid w:val="00F0056B"/>
    <w:rsid w:val="00F00D24"/>
    <w:rsid w:val="00F01D78"/>
    <w:rsid w:val="00F0288F"/>
    <w:rsid w:val="00F03482"/>
    <w:rsid w:val="00F037A7"/>
    <w:rsid w:val="00F03ECE"/>
    <w:rsid w:val="00F03F87"/>
    <w:rsid w:val="00F04599"/>
    <w:rsid w:val="00F04802"/>
    <w:rsid w:val="00F061EF"/>
    <w:rsid w:val="00F0665D"/>
    <w:rsid w:val="00F07261"/>
    <w:rsid w:val="00F078AF"/>
    <w:rsid w:val="00F10007"/>
    <w:rsid w:val="00F11865"/>
    <w:rsid w:val="00F1192D"/>
    <w:rsid w:val="00F11B19"/>
    <w:rsid w:val="00F127D5"/>
    <w:rsid w:val="00F12ADA"/>
    <w:rsid w:val="00F152FA"/>
    <w:rsid w:val="00F1592D"/>
    <w:rsid w:val="00F16BE8"/>
    <w:rsid w:val="00F172E6"/>
    <w:rsid w:val="00F201CF"/>
    <w:rsid w:val="00F20644"/>
    <w:rsid w:val="00F20B69"/>
    <w:rsid w:val="00F2114F"/>
    <w:rsid w:val="00F21487"/>
    <w:rsid w:val="00F217F6"/>
    <w:rsid w:val="00F21C6B"/>
    <w:rsid w:val="00F22149"/>
    <w:rsid w:val="00F22383"/>
    <w:rsid w:val="00F228DD"/>
    <w:rsid w:val="00F22A27"/>
    <w:rsid w:val="00F22FDA"/>
    <w:rsid w:val="00F23107"/>
    <w:rsid w:val="00F240C2"/>
    <w:rsid w:val="00F2471B"/>
    <w:rsid w:val="00F248C1"/>
    <w:rsid w:val="00F24D47"/>
    <w:rsid w:val="00F24EDF"/>
    <w:rsid w:val="00F24FE1"/>
    <w:rsid w:val="00F252FF"/>
    <w:rsid w:val="00F25608"/>
    <w:rsid w:val="00F26048"/>
    <w:rsid w:val="00F26A99"/>
    <w:rsid w:val="00F26B0E"/>
    <w:rsid w:val="00F26E69"/>
    <w:rsid w:val="00F2757F"/>
    <w:rsid w:val="00F2792E"/>
    <w:rsid w:val="00F27BC2"/>
    <w:rsid w:val="00F27DD5"/>
    <w:rsid w:val="00F30CB9"/>
    <w:rsid w:val="00F3136E"/>
    <w:rsid w:val="00F320C1"/>
    <w:rsid w:val="00F3238C"/>
    <w:rsid w:val="00F324C6"/>
    <w:rsid w:val="00F325F2"/>
    <w:rsid w:val="00F32DB8"/>
    <w:rsid w:val="00F3308C"/>
    <w:rsid w:val="00F33108"/>
    <w:rsid w:val="00F33F22"/>
    <w:rsid w:val="00F349B5"/>
    <w:rsid w:val="00F357E7"/>
    <w:rsid w:val="00F35A6C"/>
    <w:rsid w:val="00F35EB0"/>
    <w:rsid w:val="00F363E0"/>
    <w:rsid w:val="00F36E17"/>
    <w:rsid w:val="00F379D3"/>
    <w:rsid w:val="00F40825"/>
    <w:rsid w:val="00F40EC1"/>
    <w:rsid w:val="00F41CCB"/>
    <w:rsid w:val="00F4241C"/>
    <w:rsid w:val="00F42956"/>
    <w:rsid w:val="00F42B0C"/>
    <w:rsid w:val="00F43AB9"/>
    <w:rsid w:val="00F4429A"/>
    <w:rsid w:val="00F442C8"/>
    <w:rsid w:val="00F44382"/>
    <w:rsid w:val="00F44D5A"/>
    <w:rsid w:val="00F45104"/>
    <w:rsid w:val="00F45312"/>
    <w:rsid w:val="00F453A4"/>
    <w:rsid w:val="00F4566D"/>
    <w:rsid w:val="00F4631B"/>
    <w:rsid w:val="00F46894"/>
    <w:rsid w:val="00F46D4A"/>
    <w:rsid w:val="00F50B4E"/>
    <w:rsid w:val="00F51374"/>
    <w:rsid w:val="00F514FA"/>
    <w:rsid w:val="00F53322"/>
    <w:rsid w:val="00F53820"/>
    <w:rsid w:val="00F53BA2"/>
    <w:rsid w:val="00F548C1"/>
    <w:rsid w:val="00F55518"/>
    <w:rsid w:val="00F5555B"/>
    <w:rsid w:val="00F55BFF"/>
    <w:rsid w:val="00F55D05"/>
    <w:rsid w:val="00F55FB8"/>
    <w:rsid w:val="00F5603F"/>
    <w:rsid w:val="00F562A4"/>
    <w:rsid w:val="00F5698A"/>
    <w:rsid w:val="00F56A12"/>
    <w:rsid w:val="00F56D20"/>
    <w:rsid w:val="00F573AE"/>
    <w:rsid w:val="00F57817"/>
    <w:rsid w:val="00F57C2F"/>
    <w:rsid w:val="00F57EB4"/>
    <w:rsid w:val="00F610E2"/>
    <w:rsid w:val="00F61A25"/>
    <w:rsid w:val="00F6361A"/>
    <w:rsid w:val="00F63D84"/>
    <w:rsid w:val="00F65246"/>
    <w:rsid w:val="00F65D30"/>
    <w:rsid w:val="00F6630D"/>
    <w:rsid w:val="00F6652F"/>
    <w:rsid w:val="00F6702F"/>
    <w:rsid w:val="00F67AC8"/>
    <w:rsid w:val="00F700AA"/>
    <w:rsid w:val="00F704B5"/>
    <w:rsid w:val="00F705B9"/>
    <w:rsid w:val="00F70693"/>
    <w:rsid w:val="00F7113A"/>
    <w:rsid w:val="00F711AD"/>
    <w:rsid w:val="00F71402"/>
    <w:rsid w:val="00F717B3"/>
    <w:rsid w:val="00F71802"/>
    <w:rsid w:val="00F71875"/>
    <w:rsid w:val="00F7223D"/>
    <w:rsid w:val="00F723C3"/>
    <w:rsid w:val="00F72663"/>
    <w:rsid w:val="00F72874"/>
    <w:rsid w:val="00F72D24"/>
    <w:rsid w:val="00F73946"/>
    <w:rsid w:val="00F73B4D"/>
    <w:rsid w:val="00F73BBB"/>
    <w:rsid w:val="00F73FF3"/>
    <w:rsid w:val="00F74098"/>
    <w:rsid w:val="00F74681"/>
    <w:rsid w:val="00F74F0E"/>
    <w:rsid w:val="00F754C8"/>
    <w:rsid w:val="00F75B7A"/>
    <w:rsid w:val="00F760E7"/>
    <w:rsid w:val="00F76682"/>
    <w:rsid w:val="00F779B8"/>
    <w:rsid w:val="00F77C12"/>
    <w:rsid w:val="00F77E8B"/>
    <w:rsid w:val="00F8049A"/>
    <w:rsid w:val="00F80759"/>
    <w:rsid w:val="00F80A11"/>
    <w:rsid w:val="00F80DEC"/>
    <w:rsid w:val="00F811AC"/>
    <w:rsid w:val="00F81892"/>
    <w:rsid w:val="00F81CDD"/>
    <w:rsid w:val="00F82047"/>
    <w:rsid w:val="00F821B5"/>
    <w:rsid w:val="00F82594"/>
    <w:rsid w:val="00F8389A"/>
    <w:rsid w:val="00F84188"/>
    <w:rsid w:val="00F842C5"/>
    <w:rsid w:val="00F847A8"/>
    <w:rsid w:val="00F84F6C"/>
    <w:rsid w:val="00F84FC1"/>
    <w:rsid w:val="00F850BA"/>
    <w:rsid w:val="00F85361"/>
    <w:rsid w:val="00F8544C"/>
    <w:rsid w:val="00F855AC"/>
    <w:rsid w:val="00F8561D"/>
    <w:rsid w:val="00F86028"/>
    <w:rsid w:val="00F86AA0"/>
    <w:rsid w:val="00F86C0E"/>
    <w:rsid w:val="00F87C91"/>
    <w:rsid w:val="00F9048D"/>
    <w:rsid w:val="00F90593"/>
    <w:rsid w:val="00F9152D"/>
    <w:rsid w:val="00F91745"/>
    <w:rsid w:val="00F9254E"/>
    <w:rsid w:val="00F927E5"/>
    <w:rsid w:val="00F9295B"/>
    <w:rsid w:val="00F93256"/>
    <w:rsid w:val="00F937A9"/>
    <w:rsid w:val="00F93BA5"/>
    <w:rsid w:val="00F940AD"/>
    <w:rsid w:val="00F948A5"/>
    <w:rsid w:val="00F956D3"/>
    <w:rsid w:val="00F960E7"/>
    <w:rsid w:val="00F967EB"/>
    <w:rsid w:val="00F96C56"/>
    <w:rsid w:val="00F97594"/>
    <w:rsid w:val="00F97F1A"/>
    <w:rsid w:val="00FA003B"/>
    <w:rsid w:val="00FA004D"/>
    <w:rsid w:val="00FA0187"/>
    <w:rsid w:val="00FA0213"/>
    <w:rsid w:val="00FA0358"/>
    <w:rsid w:val="00FA05CE"/>
    <w:rsid w:val="00FA1284"/>
    <w:rsid w:val="00FA1DE5"/>
    <w:rsid w:val="00FA26FA"/>
    <w:rsid w:val="00FA27DA"/>
    <w:rsid w:val="00FA2CB5"/>
    <w:rsid w:val="00FA3623"/>
    <w:rsid w:val="00FA3B25"/>
    <w:rsid w:val="00FA3E82"/>
    <w:rsid w:val="00FA3F6B"/>
    <w:rsid w:val="00FA4294"/>
    <w:rsid w:val="00FA4307"/>
    <w:rsid w:val="00FA4970"/>
    <w:rsid w:val="00FA4B04"/>
    <w:rsid w:val="00FA4DAF"/>
    <w:rsid w:val="00FA4F8F"/>
    <w:rsid w:val="00FA573E"/>
    <w:rsid w:val="00FA5E7E"/>
    <w:rsid w:val="00FA5EB8"/>
    <w:rsid w:val="00FA6003"/>
    <w:rsid w:val="00FA67C9"/>
    <w:rsid w:val="00FA6EE6"/>
    <w:rsid w:val="00FA6F37"/>
    <w:rsid w:val="00FA7077"/>
    <w:rsid w:val="00FA7D46"/>
    <w:rsid w:val="00FB0609"/>
    <w:rsid w:val="00FB0D64"/>
    <w:rsid w:val="00FB1080"/>
    <w:rsid w:val="00FB1A84"/>
    <w:rsid w:val="00FB1CEA"/>
    <w:rsid w:val="00FB1E03"/>
    <w:rsid w:val="00FB21F1"/>
    <w:rsid w:val="00FB23DA"/>
    <w:rsid w:val="00FB3202"/>
    <w:rsid w:val="00FB3B6A"/>
    <w:rsid w:val="00FB41F8"/>
    <w:rsid w:val="00FB44BD"/>
    <w:rsid w:val="00FB4514"/>
    <w:rsid w:val="00FB4823"/>
    <w:rsid w:val="00FB489D"/>
    <w:rsid w:val="00FB4B30"/>
    <w:rsid w:val="00FB4E3B"/>
    <w:rsid w:val="00FB50DA"/>
    <w:rsid w:val="00FB5710"/>
    <w:rsid w:val="00FB58AD"/>
    <w:rsid w:val="00FB5999"/>
    <w:rsid w:val="00FB7579"/>
    <w:rsid w:val="00FC0731"/>
    <w:rsid w:val="00FC10B3"/>
    <w:rsid w:val="00FC118A"/>
    <w:rsid w:val="00FC1523"/>
    <w:rsid w:val="00FC1869"/>
    <w:rsid w:val="00FC191C"/>
    <w:rsid w:val="00FC1E53"/>
    <w:rsid w:val="00FC2A9D"/>
    <w:rsid w:val="00FC306E"/>
    <w:rsid w:val="00FC3077"/>
    <w:rsid w:val="00FC3571"/>
    <w:rsid w:val="00FC4096"/>
    <w:rsid w:val="00FC4353"/>
    <w:rsid w:val="00FC4915"/>
    <w:rsid w:val="00FC4C9F"/>
    <w:rsid w:val="00FC4F7D"/>
    <w:rsid w:val="00FC5060"/>
    <w:rsid w:val="00FC5BF8"/>
    <w:rsid w:val="00FC670D"/>
    <w:rsid w:val="00FC67F5"/>
    <w:rsid w:val="00FC682C"/>
    <w:rsid w:val="00FC6938"/>
    <w:rsid w:val="00FC6AB1"/>
    <w:rsid w:val="00FC6AB2"/>
    <w:rsid w:val="00FC6DAD"/>
    <w:rsid w:val="00FC7DA4"/>
    <w:rsid w:val="00FC7EB3"/>
    <w:rsid w:val="00FC7F85"/>
    <w:rsid w:val="00FD01D5"/>
    <w:rsid w:val="00FD049F"/>
    <w:rsid w:val="00FD04FD"/>
    <w:rsid w:val="00FD066F"/>
    <w:rsid w:val="00FD0801"/>
    <w:rsid w:val="00FD0E70"/>
    <w:rsid w:val="00FD11C8"/>
    <w:rsid w:val="00FD128C"/>
    <w:rsid w:val="00FD290C"/>
    <w:rsid w:val="00FD336C"/>
    <w:rsid w:val="00FD3481"/>
    <w:rsid w:val="00FD38EC"/>
    <w:rsid w:val="00FD3902"/>
    <w:rsid w:val="00FD3DA7"/>
    <w:rsid w:val="00FD4C5C"/>
    <w:rsid w:val="00FD5A8B"/>
    <w:rsid w:val="00FD62FC"/>
    <w:rsid w:val="00FD6329"/>
    <w:rsid w:val="00FD6A8D"/>
    <w:rsid w:val="00FD7210"/>
    <w:rsid w:val="00FD7A4D"/>
    <w:rsid w:val="00FD7EF3"/>
    <w:rsid w:val="00FE0F97"/>
    <w:rsid w:val="00FE1455"/>
    <w:rsid w:val="00FE191B"/>
    <w:rsid w:val="00FE2914"/>
    <w:rsid w:val="00FE2A42"/>
    <w:rsid w:val="00FE2E90"/>
    <w:rsid w:val="00FE31BD"/>
    <w:rsid w:val="00FE36A3"/>
    <w:rsid w:val="00FE37B0"/>
    <w:rsid w:val="00FE37C5"/>
    <w:rsid w:val="00FE3A42"/>
    <w:rsid w:val="00FE3C0A"/>
    <w:rsid w:val="00FE415E"/>
    <w:rsid w:val="00FE4404"/>
    <w:rsid w:val="00FE4EBD"/>
    <w:rsid w:val="00FE52F3"/>
    <w:rsid w:val="00FE533C"/>
    <w:rsid w:val="00FE59DD"/>
    <w:rsid w:val="00FE6524"/>
    <w:rsid w:val="00FE6C9A"/>
    <w:rsid w:val="00FE714E"/>
    <w:rsid w:val="00FE7166"/>
    <w:rsid w:val="00FE77D8"/>
    <w:rsid w:val="00FF02BB"/>
    <w:rsid w:val="00FF04A0"/>
    <w:rsid w:val="00FF06EA"/>
    <w:rsid w:val="00FF107E"/>
    <w:rsid w:val="00FF142D"/>
    <w:rsid w:val="00FF1909"/>
    <w:rsid w:val="00FF191E"/>
    <w:rsid w:val="00FF1BDB"/>
    <w:rsid w:val="00FF200C"/>
    <w:rsid w:val="00FF2CF7"/>
    <w:rsid w:val="00FF3446"/>
    <w:rsid w:val="00FF35E0"/>
    <w:rsid w:val="00FF41FB"/>
    <w:rsid w:val="00FF511A"/>
    <w:rsid w:val="00FF5C6C"/>
    <w:rsid w:val="00FF6B86"/>
    <w:rsid w:val="00FF7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1627"/>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locked/>
    <w:rsid w:val="009A17AF"/>
    <w:rPr>
      <w:sz w:val="24"/>
      <w:szCs w:val="24"/>
      <w:lang w:val="x-none" w:eastAsia="x-none" w:bidi="ar-SA"/>
    </w:rPr>
  </w:style>
  <w:style w:type="paragraph" w:styleId="BodyText">
    <w:name w:val="Body Text"/>
    <w:basedOn w:val="Normal"/>
    <w:link w:val="BodyTextChar"/>
    <w:rsid w:val="009A17AF"/>
    <w:pPr>
      <w:spacing w:after="120"/>
    </w:pPr>
    <w:rPr>
      <w:sz w:val="24"/>
      <w:szCs w:val="24"/>
      <w:lang w:val="x-none" w:eastAsia="x-none"/>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Car"/>
    <w:basedOn w:val="Normal"/>
    <w:link w:val="FootnoteTextChar"/>
    <w:uiPriority w:val="99"/>
    <w:rsid w:val="00591A49"/>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Car Char"/>
    <w:link w:val="FootnoteText"/>
    <w:uiPriority w:val="99"/>
    <w:rsid w:val="00591A49"/>
    <w:rPr>
      <w:lang w:val="en-US" w:eastAsia="en-US" w:bidi="ar-SA"/>
    </w:rPr>
  </w:style>
  <w:style w:type="character" w:styleId="FootnoteReference">
    <w:name w:val="footnote reference"/>
    <w:aliases w:val="Footnote,Footnote text,ftref,BearingPoint,16 Point,Superscript 6 Point,fr,Footnote Text1,f,Ref,de nota al pie,Footnote + Arial,10 pt,Black,Footnote Text11,(NECG) Footnote Reference,BVI fnr,footnote ref"/>
    <w:uiPriority w:val="99"/>
    <w:qFormat/>
    <w:rsid w:val="00591A49"/>
    <w:rPr>
      <w:vertAlign w:val="superscript"/>
    </w:rPr>
  </w:style>
  <w:style w:type="character" w:customStyle="1" w:styleId="04BodyChar">
    <w:name w:val="04. Body Char"/>
    <w:link w:val="04Body"/>
    <w:locked/>
    <w:rsid w:val="00591A49"/>
    <w:rPr>
      <w:sz w:val="28"/>
      <w:szCs w:val="26"/>
      <w:lang w:val="x-none" w:eastAsia="x-none" w:bidi="ar-SA"/>
    </w:rPr>
  </w:style>
  <w:style w:type="paragraph" w:customStyle="1" w:styleId="04Body">
    <w:name w:val="04. Body"/>
    <w:basedOn w:val="Normal"/>
    <w:link w:val="04BodyChar"/>
    <w:qFormat/>
    <w:rsid w:val="00591A49"/>
    <w:pPr>
      <w:spacing w:before="120" w:after="120" w:line="264" w:lineRule="auto"/>
      <w:ind w:firstLine="720"/>
      <w:jc w:val="both"/>
    </w:pPr>
    <w:rPr>
      <w:szCs w:val="26"/>
      <w:lang w:val="x-none" w:eastAsia="x-none"/>
    </w:rPr>
  </w:style>
  <w:style w:type="paragraph" w:styleId="BodyText2">
    <w:name w:val="Body Text 2"/>
    <w:basedOn w:val="Normal"/>
    <w:rsid w:val="000E2371"/>
    <w:pPr>
      <w:spacing w:after="120" w:line="480" w:lineRule="auto"/>
    </w:pPr>
  </w:style>
  <w:style w:type="paragraph" w:styleId="ListParagraph">
    <w:name w:val="List Paragraph"/>
    <w:basedOn w:val="Normal"/>
    <w:uiPriority w:val="34"/>
    <w:qFormat/>
    <w:rsid w:val="000E2371"/>
    <w:pPr>
      <w:spacing w:after="200" w:line="276" w:lineRule="auto"/>
      <w:ind w:left="720"/>
      <w:contextualSpacing/>
    </w:pPr>
    <w:rPr>
      <w:rFonts w:ascii="Calibri" w:eastAsia="Calibri" w:hAnsi="Calibri"/>
      <w:sz w:val="22"/>
      <w:szCs w:val="22"/>
      <w:lang w:val="en-SG"/>
    </w:rPr>
  </w:style>
  <w:style w:type="paragraph" w:customStyle="1" w:styleId="normal-p">
    <w:name w:val="normal-p"/>
    <w:basedOn w:val="Normal"/>
    <w:rsid w:val="00095A97"/>
    <w:rPr>
      <w:sz w:val="20"/>
      <w:szCs w:val="20"/>
    </w:rPr>
  </w:style>
  <w:style w:type="paragraph" w:customStyle="1" w:styleId="ColorfulList-Accent11">
    <w:name w:val="Colorful List - Accent 11"/>
    <w:basedOn w:val="Normal"/>
    <w:rsid w:val="002F41AD"/>
    <w:pPr>
      <w:spacing w:after="200"/>
      <w:ind w:left="720"/>
    </w:pPr>
    <w:rPr>
      <w:rFonts w:eastAsia="Cambria"/>
      <w:szCs w:val="24"/>
    </w:rPr>
  </w:style>
  <w:style w:type="character" w:customStyle="1" w:styleId="pexcerpt1">
    <w:name w:val="pexcerpt1"/>
    <w:rsid w:val="002F41AD"/>
  </w:style>
  <w:style w:type="character" w:styleId="Hyperlink">
    <w:name w:val="Hyperlink"/>
    <w:rsid w:val="00400114"/>
    <w:rPr>
      <w:color w:val="0000FF"/>
      <w:u w:val="single"/>
    </w:rPr>
  </w:style>
  <w:style w:type="character" w:customStyle="1" w:styleId="CharChar3">
    <w:name w:val="Char Char3"/>
    <w:locked/>
    <w:rsid w:val="007E257C"/>
    <w:rPr>
      <w:lang w:val="en-US" w:eastAsia="en-US" w:bidi="ar-SA"/>
    </w:rPr>
  </w:style>
  <w:style w:type="paragraph" w:styleId="NormalWeb">
    <w:name w:val="Normal (Web)"/>
    <w:basedOn w:val="Normal"/>
    <w:uiPriority w:val="99"/>
    <w:rsid w:val="001107C3"/>
    <w:pPr>
      <w:spacing w:before="100" w:beforeAutospacing="1" w:after="100" w:afterAutospacing="1"/>
    </w:pPr>
    <w:rPr>
      <w:sz w:val="24"/>
      <w:szCs w:val="24"/>
    </w:rPr>
  </w:style>
  <w:style w:type="paragraph" w:styleId="Footer">
    <w:name w:val="footer"/>
    <w:basedOn w:val="Normal"/>
    <w:link w:val="FooterChar"/>
    <w:uiPriority w:val="99"/>
    <w:rsid w:val="008C6143"/>
    <w:pPr>
      <w:tabs>
        <w:tab w:val="center" w:pos="4320"/>
        <w:tab w:val="right" w:pos="8640"/>
      </w:tabs>
    </w:pPr>
    <w:rPr>
      <w:lang w:val="x-none" w:eastAsia="x-none"/>
    </w:rPr>
  </w:style>
  <w:style w:type="character" w:styleId="PageNumber">
    <w:name w:val="page number"/>
    <w:basedOn w:val="DefaultParagraphFont"/>
    <w:rsid w:val="008C6143"/>
  </w:style>
  <w:style w:type="paragraph" w:styleId="BalloonText">
    <w:name w:val="Balloon Text"/>
    <w:basedOn w:val="Normal"/>
    <w:semiHidden/>
    <w:rsid w:val="00E05BC5"/>
    <w:rPr>
      <w:rFonts w:ascii="Tahoma" w:hAnsi="Tahoma" w:cs="Tahoma"/>
      <w:sz w:val="16"/>
      <w:szCs w:val="16"/>
    </w:rPr>
  </w:style>
  <w:style w:type="paragraph" w:customStyle="1" w:styleId="CharCharCharChar">
    <w:name w:val="Char Char Char Char"/>
    <w:basedOn w:val="Normal"/>
    <w:rsid w:val="00202E10"/>
    <w:pPr>
      <w:spacing w:after="160" w:line="240" w:lineRule="exact"/>
    </w:pPr>
    <w:rPr>
      <w:rFonts w:ascii="Verdana" w:hAnsi="Verdana"/>
      <w:sz w:val="20"/>
      <w:szCs w:val="20"/>
    </w:rPr>
  </w:style>
  <w:style w:type="table" w:styleId="TableGrid">
    <w:name w:val="Table Grid"/>
    <w:basedOn w:val="TableNormal"/>
    <w:rsid w:val="00552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BC1A13"/>
    <w:rPr>
      <w:rFonts w:eastAsia="Times New Roman"/>
      <w:sz w:val="24"/>
      <w:szCs w:val="24"/>
    </w:rPr>
  </w:style>
  <w:style w:type="paragraph" w:styleId="Header">
    <w:name w:val="header"/>
    <w:basedOn w:val="Normal"/>
    <w:link w:val="HeaderChar"/>
    <w:rsid w:val="009021F7"/>
    <w:pPr>
      <w:tabs>
        <w:tab w:val="center" w:pos="4680"/>
        <w:tab w:val="right" w:pos="9360"/>
      </w:tabs>
    </w:pPr>
    <w:rPr>
      <w:lang w:val="x-none" w:eastAsia="x-none"/>
    </w:rPr>
  </w:style>
  <w:style w:type="character" w:customStyle="1" w:styleId="HeaderChar">
    <w:name w:val="Header Char"/>
    <w:link w:val="Header"/>
    <w:rsid w:val="009021F7"/>
    <w:rPr>
      <w:sz w:val="28"/>
      <w:szCs w:val="28"/>
    </w:rPr>
  </w:style>
  <w:style w:type="character" w:customStyle="1" w:styleId="FooterChar">
    <w:name w:val="Footer Char"/>
    <w:link w:val="Footer"/>
    <w:uiPriority w:val="99"/>
    <w:rsid w:val="001116C4"/>
    <w:rPr>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64112B"/>
    <w:pPr>
      <w:spacing w:after="160" w:line="240" w:lineRule="exact"/>
    </w:pPr>
    <w:rPr>
      <w:rFonts w:ascii="Arial" w:hAnsi="Arial"/>
      <w:sz w:val="22"/>
      <w:szCs w:val="22"/>
    </w:rPr>
  </w:style>
  <w:style w:type="character" w:styleId="Strong">
    <w:name w:val="Strong"/>
    <w:qFormat/>
    <w:rsid w:val="00E92F23"/>
    <w:rPr>
      <w:rFonts w:ascii="Times New Roman" w:hAnsi="Times New Roman" w:cs="Times New Roman" w:hint="default"/>
      <w:b/>
      <w:bCs/>
    </w:rPr>
  </w:style>
  <w:style w:type="character" w:customStyle="1" w:styleId="apple-converted-space">
    <w:name w:val="apple-converted-space"/>
    <w:rsid w:val="00096A9E"/>
  </w:style>
  <w:style w:type="paragraph" w:styleId="BodyTextIndent">
    <w:name w:val="Body Text Indent"/>
    <w:basedOn w:val="Normal"/>
    <w:link w:val="BodyTextIndentChar"/>
    <w:rsid w:val="00E3442A"/>
    <w:pPr>
      <w:spacing w:after="120"/>
      <w:ind w:left="283"/>
    </w:pPr>
  </w:style>
  <w:style w:type="character" w:customStyle="1" w:styleId="BodyTextIndentChar">
    <w:name w:val="Body Text Indent Char"/>
    <w:link w:val="BodyTextIndent"/>
    <w:rsid w:val="00E3442A"/>
    <w:rPr>
      <w:sz w:val="28"/>
      <w:szCs w:val="28"/>
      <w:lang w:val="en-US" w:eastAsia="en-US"/>
    </w:rPr>
  </w:style>
  <w:style w:type="paragraph" w:customStyle="1" w:styleId="Body1">
    <w:name w:val="Body 1"/>
    <w:rsid w:val="00312300"/>
    <w:pPr>
      <w:outlineLvl w:val="0"/>
    </w:pPr>
    <w:rPr>
      <w:rFonts w:eastAsia="Arial Unicode MS"/>
      <w:color w:val="000000"/>
      <w:sz w:val="28"/>
      <w:u w:color="000000"/>
    </w:rPr>
  </w:style>
  <w:style w:type="paragraph" w:styleId="Revision">
    <w:name w:val="Revision"/>
    <w:hidden/>
    <w:uiPriority w:val="99"/>
    <w:semiHidden/>
    <w:rsid w:val="009F784C"/>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1627"/>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locked/>
    <w:rsid w:val="009A17AF"/>
    <w:rPr>
      <w:sz w:val="24"/>
      <w:szCs w:val="24"/>
      <w:lang w:val="x-none" w:eastAsia="x-none" w:bidi="ar-SA"/>
    </w:rPr>
  </w:style>
  <w:style w:type="paragraph" w:styleId="BodyText">
    <w:name w:val="Body Text"/>
    <w:basedOn w:val="Normal"/>
    <w:link w:val="BodyTextChar"/>
    <w:rsid w:val="009A17AF"/>
    <w:pPr>
      <w:spacing w:after="120"/>
    </w:pPr>
    <w:rPr>
      <w:sz w:val="24"/>
      <w:szCs w:val="24"/>
      <w:lang w:val="x-none" w:eastAsia="x-none"/>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Car"/>
    <w:basedOn w:val="Normal"/>
    <w:link w:val="FootnoteTextChar"/>
    <w:uiPriority w:val="99"/>
    <w:rsid w:val="00591A49"/>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Car Char"/>
    <w:link w:val="FootnoteText"/>
    <w:uiPriority w:val="99"/>
    <w:rsid w:val="00591A49"/>
    <w:rPr>
      <w:lang w:val="en-US" w:eastAsia="en-US" w:bidi="ar-SA"/>
    </w:rPr>
  </w:style>
  <w:style w:type="character" w:styleId="FootnoteReference">
    <w:name w:val="footnote reference"/>
    <w:aliases w:val="Footnote,Footnote text,ftref,BearingPoint,16 Point,Superscript 6 Point,fr,Footnote Text1,f,Ref,de nota al pie,Footnote + Arial,10 pt,Black,Footnote Text11,(NECG) Footnote Reference,BVI fnr,footnote ref"/>
    <w:uiPriority w:val="99"/>
    <w:qFormat/>
    <w:rsid w:val="00591A49"/>
    <w:rPr>
      <w:vertAlign w:val="superscript"/>
    </w:rPr>
  </w:style>
  <w:style w:type="character" w:customStyle="1" w:styleId="04BodyChar">
    <w:name w:val="04. Body Char"/>
    <w:link w:val="04Body"/>
    <w:locked/>
    <w:rsid w:val="00591A49"/>
    <w:rPr>
      <w:sz w:val="28"/>
      <w:szCs w:val="26"/>
      <w:lang w:val="x-none" w:eastAsia="x-none" w:bidi="ar-SA"/>
    </w:rPr>
  </w:style>
  <w:style w:type="paragraph" w:customStyle="1" w:styleId="04Body">
    <w:name w:val="04. Body"/>
    <w:basedOn w:val="Normal"/>
    <w:link w:val="04BodyChar"/>
    <w:qFormat/>
    <w:rsid w:val="00591A49"/>
    <w:pPr>
      <w:spacing w:before="120" w:after="120" w:line="264" w:lineRule="auto"/>
      <w:ind w:firstLine="720"/>
      <w:jc w:val="both"/>
    </w:pPr>
    <w:rPr>
      <w:szCs w:val="26"/>
      <w:lang w:val="x-none" w:eastAsia="x-none"/>
    </w:rPr>
  </w:style>
  <w:style w:type="paragraph" w:styleId="BodyText2">
    <w:name w:val="Body Text 2"/>
    <w:basedOn w:val="Normal"/>
    <w:rsid w:val="000E2371"/>
    <w:pPr>
      <w:spacing w:after="120" w:line="480" w:lineRule="auto"/>
    </w:pPr>
  </w:style>
  <w:style w:type="paragraph" w:styleId="ListParagraph">
    <w:name w:val="List Paragraph"/>
    <w:basedOn w:val="Normal"/>
    <w:uiPriority w:val="34"/>
    <w:qFormat/>
    <w:rsid w:val="000E2371"/>
    <w:pPr>
      <w:spacing w:after="200" w:line="276" w:lineRule="auto"/>
      <w:ind w:left="720"/>
      <w:contextualSpacing/>
    </w:pPr>
    <w:rPr>
      <w:rFonts w:ascii="Calibri" w:eastAsia="Calibri" w:hAnsi="Calibri"/>
      <w:sz w:val="22"/>
      <w:szCs w:val="22"/>
      <w:lang w:val="en-SG"/>
    </w:rPr>
  </w:style>
  <w:style w:type="paragraph" w:customStyle="1" w:styleId="normal-p">
    <w:name w:val="normal-p"/>
    <w:basedOn w:val="Normal"/>
    <w:rsid w:val="00095A97"/>
    <w:rPr>
      <w:sz w:val="20"/>
      <w:szCs w:val="20"/>
    </w:rPr>
  </w:style>
  <w:style w:type="paragraph" w:customStyle="1" w:styleId="ColorfulList-Accent11">
    <w:name w:val="Colorful List - Accent 11"/>
    <w:basedOn w:val="Normal"/>
    <w:rsid w:val="002F41AD"/>
    <w:pPr>
      <w:spacing w:after="200"/>
      <w:ind w:left="720"/>
    </w:pPr>
    <w:rPr>
      <w:rFonts w:eastAsia="Cambria"/>
      <w:szCs w:val="24"/>
    </w:rPr>
  </w:style>
  <w:style w:type="character" w:customStyle="1" w:styleId="pexcerpt1">
    <w:name w:val="pexcerpt1"/>
    <w:rsid w:val="002F41AD"/>
  </w:style>
  <w:style w:type="character" w:styleId="Hyperlink">
    <w:name w:val="Hyperlink"/>
    <w:rsid w:val="00400114"/>
    <w:rPr>
      <w:color w:val="0000FF"/>
      <w:u w:val="single"/>
    </w:rPr>
  </w:style>
  <w:style w:type="character" w:customStyle="1" w:styleId="CharChar3">
    <w:name w:val="Char Char3"/>
    <w:locked/>
    <w:rsid w:val="007E257C"/>
    <w:rPr>
      <w:lang w:val="en-US" w:eastAsia="en-US" w:bidi="ar-SA"/>
    </w:rPr>
  </w:style>
  <w:style w:type="paragraph" w:styleId="NormalWeb">
    <w:name w:val="Normal (Web)"/>
    <w:basedOn w:val="Normal"/>
    <w:uiPriority w:val="99"/>
    <w:rsid w:val="001107C3"/>
    <w:pPr>
      <w:spacing w:before="100" w:beforeAutospacing="1" w:after="100" w:afterAutospacing="1"/>
    </w:pPr>
    <w:rPr>
      <w:sz w:val="24"/>
      <w:szCs w:val="24"/>
    </w:rPr>
  </w:style>
  <w:style w:type="paragraph" w:styleId="Footer">
    <w:name w:val="footer"/>
    <w:basedOn w:val="Normal"/>
    <w:link w:val="FooterChar"/>
    <w:uiPriority w:val="99"/>
    <w:rsid w:val="008C6143"/>
    <w:pPr>
      <w:tabs>
        <w:tab w:val="center" w:pos="4320"/>
        <w:tab w:val="right" w:pos="8640"/>
      </w:tabs>
    </w:pPr>
    <w:rPr>
      <w:lang w:val="x-none" w:eastAsia="x-none"/>
    </w:rPr>
  </w:style>
  <w:style w:type="character" w:styleId="PageNumber">
    <w:name w:val="page number"/>
    <w:basedOn w:val="DefaultParagraphFont"/>
    <w:rsid w:val="008C6143"/>
  </w:style>
  <w:style w:type="paragraph" w:styleId="BalloonText">
    <w:name w:val="Balloon Text"/>
    <w:basedOn w:val="Normal"/>
    <w:semiHidden/>
    <w:rsid w:val="00E05BC5"/>
    <w:rPr>
      <w:rFonts w:ascii="Tahoma" w:hAnsi="Tahoma" w:cs="Tahoma"/>
      <w:sz w:val="16"/>
      <w:szCs w:val="16"/>
    </w:rPr>
  </w:style>
  <w:style w:type="paragraph" w:customStyle="1" w:styleId="CharCharCharChar">
    <w:name w:val="Char Char Char Char"/>
    <w:basedOn w:val="Normal"/>
    <w:rsid w:val="00202E10"/>
    <w:pPr>
      <w:spacing w:after="160" w:line="240" w:lineRule="exact"/>
    </w:pPr>
    <w:rPr>
      <w:rFonts w:ascii="Verdana" w:hAnsi="Verdana"/>
      <w:sz w:val="20"/>
      <w:szCs w:val="20"/>
    </w:rPr>
  </w:style>
  <w:style w:type="table" w:styleId="TableGrid">
    <w:name w:val="Table Grid"/>
    <w:basedOn w:val="TableNormal"/>
    <w:rsid w:val="00552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BC1A13"/>
    <w:rPr>
      <w:rFonts w:eastAsia="Times New Roman"/>
      <w:sz w:val="24"/>
      <w:szCs w:val="24"/>
    </w:rPr>
  </w:style>
  <w:style w:type="paragraph" w:styleId="Header">
    <w:name w:val="header"/>
    <w:basedOn w:val="Normal"/>
    <w:link w:val="HeaderChar"/>
    <w:rsid w:val="009021F7"/>
    <w:pPr>
      <w:tabs>
        <w:tab w:val="center" w:pos="4680"/>
        <w:tab w:val="right" w:pos="9360"/>
      </w:tabs>
    </w:pPr>
    <w:rPr>
      <w:lang w:val="x-none" w:eastAsia="x-none"/>
    </w:rPr>
  </w:style>
  <w:style w:type="character" w:customStyle="1" w:styleId="HeaderChar">
    <w:name w:val="Header Char"/>
    <w:link w:val="Header"/>
    <w:rsid w:val="009021F7"/>
    <w:rPr>
      <w:sz w:val="28"/>
      <w:szCs w:val="28"/>
    </w:rPr>
  </w:style>
  <w:style w:type="character" w:customStyle="1" w:styleId="FooterChar">
    <w:name w:val="Footer Char"/>
    <w:link w:val="Footer"/>
    <w:uiPriority w:val="99"/>
    <w:rsid w:val="001116C4"/>
    <w:rPr>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64112B"/>
    <w:pPr>
      <w:spacing w:after="160" w:line="240" w:lineRule="exact"/>
    </w:pPr>
    <w:rPr>
      <w:rFonts w:ascii="Arial" w:hAnsi="Arial"/>
      <w:sz w:val="22"/>
      <w:szCs w:val="22"/>
    </w:rPr>
  </w:style>
  <w:style w:type="character" w:styleId="Strong">
    <w:name w:val="Strong"/>
    <w:qFormat/>
    <w:rsid w:val="00E92F23"/>
    <w:rPr>
      <w:rFonts w:ascii="Times New Roman" w:hAnsi="Times New Roman" w:cs="Times New Roman" w:hint="default"/>
      <w:b/>
      <w:bCs/>
    </w:rPr>
  </w:style>
  <w:style w:type="character" w:customStyle="1" w:styleId="apple-converted-space">
    <w:name w:val="apple-converted-space"/>
    <w:rsid w:val="00096A9E"/>
  </w:style>
  <w:style w:type="paragraph" w:styleId="BodyTextIndent">
    <w:name w:val="Body Text Indent"/>
    <w:basedOn w:val="Normal"/>
    <w:link w:val="BodyTextIndentChar"/>
    <w:rsid w:val="00E3442A"/>
    <w:pPr>
      <w:spacing w:after="120"/>
      <w:ind w:left="283"/>
    </w:pPr>
  </w:style>
  <w:style w:type="character" w:customStyle="1" w:styleId="BodyTextIndentChar">
    <w:name w:val="Body Text Indent Char"/>
    <w:link w:val="BodyTextIndent"/>
    <w:rsid w:val="00E3442A"/>
    <w:rPr>
      <w:sz w:val="28"/>
      <w:szCs w:val="28"/>
      <w:lang w:val="en-US" w:eastAsia="en-US"/>
    </w:rPr>
  </w:style>
  <w:style w:type="paragraph" w:customStyle="1" w:styleId="Body1">
    <w:name w:val="Body 1"/>
    <w:rsid w:val="00312300"/>
    <w:pPr>
      <w:outlineLvl w:val="0"/>
    </w:pPr>
    <w:rPr>
      <w:rFonts w:eastAsia="Arial Unicode MS"/>
      <w:color w:val="000000"/>
      <w:sz w:val="28"/>
      <w:u w:color="000000"/>
    </w:rPr>
  </w:style>
  <w:style w:type="paragraph" w:styleId="Revision">
    <w:name w:val="Revision"/>
    <w:hidden/>
    <w:uiPriority w:val="99"/>
    <w:semiHidden/>
    <w:rsid w:val="009F784C"/>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5454">
      <w:bodyDiv w:val="1"/>
      <w:marLeft w:val="0"/>
      <w:marRight w:val="0"/>
      <w:marTop w:val="0"/>
      <w:marBottom w:val="0"/>
      <w:divBdr>
        <w:top w:val="none" w:sz="0" w:space="0" w:color="auto"/>
        <w:left w:val="none" w:sz="0" w:space="0" w:color="auto"/>
        <w:bottom w:val="none" w:sz="0" w:space="0" w:color="auto"/>
        <w:right w:val="none" w:sz="0" w:space="0" w:color="auto"/>
      </w:divBdr>
    </w:div>
    <w:div w:id="67848119">
      <w:bodyDiv w:val="1"/>
      <w:marLeft w:val="0"/>
      <w:marRight w:val="0"/>
      <w:marTop w:val="0"/>
      <w:marBottom w:val="0"/>
      <w:divBdr>
        <w:top w:val="none" w:sz="0" w:space="0" w:color="auto"/>
        <w:left w:val="none" w:sz="0" w:space="0" w:color="auto"/>
        <w:bottom w:val="none" w:sz="0" w:space="0" w:color="auto"/>
        <w:right w:val="none" w:sz="0" w:space="0" w:color="auto"/>
      </w:divBdr>
    </w:div>
    <w:div w:id="504977205">
      <w:bodyDiv w:val="1"/>
      <w:marLeft w:val="0"/>
      <w:marRight w:val="0"/>
      <w:marTop w:val="0"/>
      <w:marBottom w:val="0"/>
      <w:divBdr>
        <w:top w:val="none" w:sz="0" w:space="0" w:color="auto"/>
        <w:left w:val="none" w:sz="0" w:space="0" w:color="auto"/>
        <w:bottom w:val="none" w:sz="0" w:space="0" w:color="auto"/>
        <w:right w:val="none" w:sz="0" w:space="0" w:color="auto"/>
      </w:divBdr>
    </w:div>
    <w:div w:id="604459327">
      <w:bodyDiv w:val="1"/>
      <w:marLeft w:val="0"/>
      <w:marRight w:val="0"/>
      <w:marTop w:val="0"/>
      <w:marBottom w:val="0"/>
      <w:divBdr>
        <w:top w:val="none" w:sz="0" w:space="0" w:color="auto"/>
        <w:left w:val="none" w:sz="0" w:space="0" w:color="auto"/>
        <w:bottom w:val="none" w:sz="0" w:space="0" w:color="auto"/>
        <w:right w:val="none" w:sz="0" w:space="0" w:color="auto"/>
      </w:divBdr>
    </w:div>
    <w:div w:id="619534173">
      <w:bodyDiv w:val="1"/>
      <w:marLeft w:val="0"/>
      <w:marRight w:val="0"/>
      <w:marTop w:val="0"/>
      <w:marBottom w:val="0"/>
      <w:divBdr>
        <w:top w:val="none" w:sz="0" w:space="0" w:color="auto"/>
        <w:left w:val="none" w:sz="0" w:space="0" w:color="auto"/>
        <w:bottom w:val="none" w:sz="0" w:space="0" w:color="auto"/>
        <w:right w:val="none" w:sz="0" w:space="0" w:color="auto"/>
      </w:divBdr>
    </w:div>
    <w:div w:id="658537452">
      <w:bodyDiv w:val="1"/>
      <w:marLeft w:val="0"/>
      <w:marRight w:val="0"/>
      <w:marTop w:val="0"/>
      <w:marBottom w:val="0"/>
      <w:divBdr>
        <w:top w:val="none" w:sz="0" w:space="0" w:color="auto"/>
        <w:left w:val="none" w:sz="0" w:space="0" w:color="auto"/>
        <w:bottom w:val="none" w:sz="0" w:space="0" w:color="auto"/>
        <w:right w:val="none" w:sz="0" w:space="0" w:color="auto"/>
      </w:divBdr>
    </w:div>
    <w:div w:id="710692561">
      <w:bodyDiv w:val="1"/>
      <w:marLeft w:val="0"/>
      <w:marRight w:val="0"/>
      <w:marTop w:val="0"/>
      <w:marBottom w:val="0"/>
      <w:divBdr>
        <w:top w:val="none" w:sz="0" w:space="0" w:color="auto"/>
        <w:left w:val="none" w:sz="0" w:space="0" w:color="auto"/>
        <w:bottom w:val="none" w:sz="0" w:space="0" w:color="auto"/>
        <w:right w:val="none" w:sz="0" w:space="0" w:color="auto"/>
      </w:divBdr>
    </w:div>
    <w:div w:id="715275075">
      <w:bodyDiv w:val="1"/>
      <w:marLeft w:val="0"/>
      <w:marRight w:val="0"/>
      <w:marTop w:val="0"/>
      <w:marBottom w:val="0"/>
      <w:divBdr>
        <w:top w:val="none" w:sz="0" w:space="0" w:color="auto"/>
        <w:left w:val="none" w:sz="0" w:space="0" w:color="auto"/>
        <w:bottom w:val="none" w:sz="0" w:space="0" w:color="auto"/>
        <w:right w:val="none" w:sz="0" w:space="0" w:color="auto"/>
      </w:divBdr>
    </w:div>
    <w:div w:id="736633740">
      <w:bodyDiv w:val="1"/>
      <w:marLeft w:val="0"/>
      <w:marRight w:val="0"/>
      <w:marTop w:val="0"/>
      <w:marBottom w:val="0"/>
      <w:divBdr>
        <w:top w:val="none" w:sz="0" w:space="0" w:color="auto"/>
        <w:left w:val="none" w:sz="0" w:space="0" w:color="auto"/>
        <w:bottom w:val="none" w:sz="0" w:space="0" w:color="auto"/>
        <w:right w:val="none" w:sz="0" w:space="0" w:color="auto"/>
      </w:divBdr>
    </w:div>
    <w:div w:id="795221873">
      <w:bodyDiv w:val="1"/>
      <w:marLeft w:val="0"/>
      <w:marRight w:val="0"/>
      <w:marTop w:val="0"/>
      <w:marBottom w:val="0"/>
      <w:divBdr>
        <w:top w:val="none" w:sz="0" w:space="0" w:color="auto"/>
        <w:left w:val="none" w:sz="0" w:space="0" w:color="auto"/>
        <w:bottom w:val="none" w:sz="0" w:space="0" w:color="auto"/>
        <w:right w:val="none" w:sz="0" w:space="0" w:color="auto"/>
      </w:divBdr>
    </w:div>
    <w:div w:id="961764841">
      <w:bodyDiv w:val="1"/>
      <w:marLeft w:val="0"/>
      <w:marRight w:val="0"/>
      <w:marTop w:val="0"/>
      <w:marBottom w:val="0"/>
      <w:divBdr>
        <w:top w:val="none" w:sz="0" w:space="0" w:color="auto"/>
        <w:left w:val="none" w:sz="0" w:space="0" w:color="auto"/>
        <w:bottom w:val="none" w:sz="0" w:space="0" w:color="auto"/>
        <w:right w:val="none" w:sz="0" w:space="0" w:color="auto"/>
      </w:divBdr>
    </w:div>
    <w:div w:id="979843688">
      <w:bodyDiv w:val="1"/>
      <w:marLeft w:val="0"/>
      <w:marRight w:val="0"/>
      <w:marTop w:val="0"/>
      <w:marBottom w:val="0"/>
      <w:divBdr>
        <w:top w:val="none" w:sz="0" w:space="0" w:color="auto"/>
        <w:left w:val="none" w:sz="0" w:space="0" w:color="auto"/>
        <w:bottom w:val="none" w:sz="0" w:space="0" w:color="auto"/>
        <w:right w:val="none" w:sz="0" w:space="0" w:color="auto"/>
      </w:divBdr>
    </w:div>
    <w:div w:id="1260599328">
      <w:bodyDiv w:val="1"/>
      <w:marLeft w:val="0"/>
      <w:marRight w:val="0"/>
      <w:marTop w:val="0"/>
      <w:marBottom w:val="0"/>
      <w:divBdr>
        <w:top w:val="none" w:sz="0" w:space="0" w:color="auto"/>
        <w:left w:val="none" w:sz="0" w:space="0" w:color="auto"/>
        <w:bottom w:val="none" w:sz="0" w:space="0" w:color="auto"/>
        <w:right w:val="none" w:sz="0" w:space="0" w:color="auto"/>
      </w:divBdr>
    </w:div>
    <w:div w:id="1268391071">
      <w:bodyDiv w:val="1"/>
      <w:marLeft w:val="0"/>
      <w:marRight w:val="0"/>
      <w:marTop w:val="0"/>
      <w:marBottom w:val="0"/>
      <w:divBdr>
        <w:top w:val="none" w:sz="0" w:space="0" w:color="auto"/>
        <w:left w:val="none" w:sz="0" w:space="0" w:color="auto"/>
        <w:bottom w:val="none" w:sz="0" w:space="0" w:color="auto"/>
        <w:right w:val="none" w:sz="0" w:space="0" w:color="auto"/>
      </w:divBdr>
    </w:div>
    <w:div w:id="1289512889">
      <w:bodyDiv w:val="1"/>
      <w:marLeft w:val="0"/>
      <w:marRight w:val="0"/>
      <w:marTop w:val="0"/>
      <w:marBottom w:val="0"/>
      <w:divBdr>
        <w:top w:val="none" w:sz="0" w:space="0" w:color="auto"/>
        <w:left w:val="none" w:sz="0" w:space="0" w:color="auto"/>
        <w:bottom w:val="none" w:sz="0" w:space="0" w:color="auto"/>
        <w:right w:val="none" w:sz="0" w:space="0" w:color="auto"/>
      </w:divBdr>
    </w:div>
    <w:div w:id="1299989950">
      <w:bodyDiv w:val="1"/>
      <w:marLeft w:val="0"/>
      <w:marRight w:val="0"/>
      <w:marTop w:val="0"/>
      <w:marBottom w:val="0"/>
      <w:divBdr>
        <w:top w:val="none" w:sz="0" w:space="0" w:color="auto"/>
        <w:left w:val="none" w:sz="0" w:space="0" w:color="auto"/>
        <w:bottom w:val="none" w:sz="0" w:space="0" w:color="auto"/>
        <w:right w:val="none" w:sz="0" w:space="0" w:color="auto"/>
      </w:divBdr>
    </w:div>
    <w:div w:id="1308825786">
      <w:bodyDiv w:val="1"/>
      <w:marLeft w:val="0"/>
      <w:marRight w:val="0"/>
      <w:marTop w:val="0"/>
      <w:marBottom w:val="0"/>
      <w:divBdr>
        <w:top w:val="none" w:sz="0" w:space="0" w:color="auto"/>
        <w:left w:val="none" w:sz="0" w:space="0" w:color="auto"/>
        <w:bottom w:val="none" w:sz="0" w:space="0" w:color="auto"/>
        <w:right w:val="none" w:sz="0" w:space="0" w:color="auto"/>
      </w:divBdr>
    </w:div>
    <w:div w:id="1318001803">
      <w:bodyDiv w:val="1"/>
      <w:marLeft w:val="0"/>
      <w:marRight w:val="0"/>
      <w:marTop w:val="0"/>
      <w:marBottom w:val="0"/>
      <w:divBdr>
        <w:top w:val="none" w:sz="0" w:space="0" w:color="auto"/>
        <w:left w:val="none" w:sz="0" w:space="0" w:color="auto"/>
        <w:bottom w:val="none" w:sz="0" w:space="0" w:color="auto"/>
        <w:right w:val="none" w:sz="0" w:space="0" w:color="auto"/>
      </w:divBdr>
    </w:div>
    <w:div w:id="1342048231">
      <w:bodyDiv w:val="1"/>
      <w:marLeft w:val="0"/>
      <w:marRight w:val="0"/>
      <w:marTop w:val="0"/>
      <w:marBottom w:val="0"/>
      <w:divBdr>
        <w:top w:val="none" w:sz="0" w:space="0" w:color="auto"/>
        <w:left w:val="none" w:sz="0" w:space="0" w:color="auto"/>
        <w:bottom w:val="none" w:sz="0" w:space="0" w:color="auto"/>
        <w:right w:val="none" w:sz="0" w:space="0" w:color="auto"/>
      </w:divBdr>
    </w:div>
    <w:div w:id="1372610149">
      <w:bodyDiv w:val="1"/>
      <w:marLeft w:val="0"/>
      <w:marRight w:val="0"/>
      <w:marTop w:val="0"/>
      <w:marBottom w:val="0"/>
      <w:divBdr>
        <w:top w:val="none" w:sz="0" w:space="0" w:color="auto"/>
        <w:left w:val="none" w:sz="0" w:space="0" w:color="auto"/>
        <w:bottom w:val="none" w:sz="0" w:space="0" w:color="auto"/>
        <w:right w:val="none" w:sz="0" w:space="0" w:color="auto"/>
      </w:divBdr>
    </w:div>
    <w:div w:id="1449198349">
      <w:bodyDiv w:val="1"/>
      <w:marLeft w:val="0"/>
      <w:marRight w:val="0"/>
      <w:marTop w:val="0"/>
      <w:marBottom w:val="0"/>
      <w:divBdr>
        <w:top w:val="none" w:sz="0" w:space="0" w:color="auto"/>
        <w:left w:val="none" w:sz="0" w:space="0" w:color="auto"/>
        <w:bottom w:val="none" w:sz="0" w:space="0" w:color="auto"/>
        <w:right w:val="none" w:sz="0" w:space="0" w:color="auto"/>
      </w:divBdr>
    </w:div>
    <w:div w:id="1473522527">
      <w:bodyDiv w:val="1"/>
      <w:marLeft w:val="0"/>
      <w:marRight w:val="0"/>
      <w:marTop w:val="0"/>
      <w:marBottom w:val="0"/>
      <w:divBdr>
        <w:top w:val="none" w:sz="0" w:space="0" w:color="auto"/>
        <w:left w:val="none" w:sz="0" w:space="0" w:color="auto"/>
        <w:bottom w:val="none" w:sz="0" w:space="0" w:color="auto"/>
        <w:right w:val="none" w:sz="0" w:space="0" w:color="auto"/>
      </w:divBdr>
    </w:div>
    <w:div w:id="1536507188">
      <w:bodyDiv w:val="1"/>
      <w:marLeft w:val="0"/>
      <w:marRight w:val="0"/>
      <w:marTop w:val="0"/>
      <w:marBottom w:val="0"/>
      <w:divBdr>
        <w:top w:val="none" w:sz="0" w:space="0" w:color="auto"/>
        <w:left w:val="none" w:sz="0" w:space="0" w:color="auto"/>
        <w:bottom w:val="none" w:sz="0" w:space="0" w:color="auto"/>
        <w:right w:val="none" w:sz="0" w:space="0" w:color="auto"/>
      </w:divBdr>
    </w:div>
    <w:div w:id="1588726496">
      <w:bodyDiv w:val="1"/>
      <w:marLeft w:val="0"/>
      <w:marRight w:val="0"/>
      <w:marTop w:val="0"/>
      <w:marBottom w:val="0"/>
      <w:divBdr>
        <w:top w:val="none" w:sz="0" w:space="0" w:color="auto"/>
        <w:left w:val="none" w:sz="0" w:space="0" w:color="auto"/>
        <w:bottom w:val="none" w:sz="0" w:space="0" w:color="auto"/>
        <w:right w:val="none" w:sz="0" w:space="0" w:color="auto"/>
      </w:divBdr>
    </w:div>
    <w:div w:id="1594165422">
      <w:bodyDiv w:val="1"/>
      <w:marLeft w:val="0"/>
      <w:marRight w:val="0"/>
      <w:marTop w:val="0"/>
      <w:marBottom w:val="0"/>
      <w:divBdr>
        <w:top w:val="none" w:sz="0" w:space="0" w:color="auto"/>
        <w:left w:val="none" w:sz="0" w:space="0" w:color="auto"/>
        <w:bottom w:val="none" w:sz="0" w:space="0" w:color="auto"/>
        <w:right w:val="none" w:sz="0" w:space="0" w:color="auto"/>
      </w:divBdr>
    </w:div>
    <w:div w:id="1617980537">
      <w:bodyDiv w:val="1"/>
      <w:marLeft w:val="0"/>
      <w:marRight w:val="0"/>
      <w:marTop w:val="0"/>
      <w:marBottom w:val="0"/>
      <w:divBdr>
        <w:top w:val="none" w:sz="0" w:space="0" w:color="auto"/>
        <w:left w:val="none" w:sz="0" w:space="0" w:color="auto"/>
        <w:bottom w:val="none" w:sz="0" w:space="0" w:color="auto"/>
        <w:right w:val="none" w:sz="0" w:space="0" w:color="auto"/>
      </w:divBdr>
    </w:div>
    <w:div w:id="1694527673">
      <w:bodyDiv w:val="1"/>
      <w:marLeft w:val="0"/>
      <w:marRight w:val="0"/>
      <w:marTop w:val="0"/>
      <w:marBottom w:val="0"/>
      <w:divBdr>
        <w:top w:val="none" w:sz="0" w:space="0" w:color="auto"/>
        <w:left w:val="none" w:sz="0" w:space="0" w:color="auto"/>
        <w:bottom w:val="none" w:sz="0" w:space="0" w:color="auto"/>
        <w:right w:val="none" w:sz="0" w:space="0" w:color="auto"/>
      </w:divBdr>
    </w:div>
    <w:div w:id="1700662335">
      <w:bodyDiv w:val="1"/>
      <w:marLeft w:val="0"/>
      <w:marRight w:val="0"/>
      <w:marTop w:val="0"/>
      <w:marBottom w:val="0"/>
      <w:divBdr>
        <w:top w:val="none" w:sz="0" w:space="0" w:color="auto"/>
        <w:left w:val="none" w:sz="0" w:space="0" w:color="auto"/>
        <w:bottom w:val="none" w:sz="0" w:space="0" w:color="auto"/>
        <w:right w:val="none" w:sz="0" w:space="0" w:color="auto"/>
      </w:divBdr>
    </w:div>
    <w:div w:id="1718158646">
      <w:bodyDiv w:val="1"/>
      <w:marLeft w:val="0"/>
      <w:marRight w:val="0"/>
      <w:marTop w:val="0"/>
      <w:marBottom w:val="0"/>
      <w:divBdr>
        <w:top w:val="none" w:sz="0" w:space="0" w:color="auto"/>
        <w:left w:val="none" w:sz="0" w:space="0" w:color="auto"/>
        <w:bottom w:val="none" w:sz="0" w:space="0" w:color="auto"/>
        <w:right w:val="none" w:sz="0" w:space="0" w:color="auto"/>
      </w:divBdr>
    </w:div>
    <w:div w:id="1775400269">
      <w:bodyDiv w:val="1"/>
      <w:marLeft w:val="0"/>
      <w:marRight w:val="0"/>
      <w:marTop w:val="0"/>
      <w:marBottom w:val="0"/>
      <w:divBdr>
        <w:top w:val="none" w:sz="0" w:space="0" w:color="auto"/>
        <w:left w:val="none" w:sz="0" w:space="0" w:color="auto"/>
        <w:bottom w:val="none" w:sz="0" w:space="0" w:color="auto"/>
        <w:right w:val="none" w:sz="0" w:space="0" w:color="auto"/>
      </w:divBdr>
    </w:div>
    <w:div w:id="1835948940">
      <w:bodyDiv w:val="1"/>
      <w:marLeft w:val="0"/>
      <w:marRight w:val="0"/>
      <w:marTop w:val="0"/>
      <w:marBottom w:val="0"/>
      <w:divBdr>
        <w:top w:val="none" w:sz="0" w:space="0" w:color="auto"/>
        <w:left w:val="none" w:sz="0" w:space="0" w:color="auto"/>
        <w:bottom w:val="none" w:sz="0" w:space="0" w:color="auto"/>
        <w:right w:val="none" w:sz="0" w:space="0" w:color="auto"/>
      </w:divBdr>
    </w:div>
    <w:div w:id="1860309633">
      <w:bodyDiv w:val="1"/>
      <w:marLeft w:val="0"/>
      <w:marRight w:val="0"/>
      <w:marTop w:val="0"/>
      <w:marBottom w:val="0"/>
      <w:divBdr>
        <w:top w:val="none" w:sz="0" w:space="0" w:color="auto"/>
        <w:left w:val="none" w:sz="0" w:space="0" w:color="auto"/>
        <w:bottom w:val="none" w:sz="0" w:space="0" w:color="auto"/>
        <w:right w:val="none" w:sz="0" w:space="0" w:color="auto"/>
      </w:divBdr>
    </w:div>
    <w:div w:id="1865241401">
      <w:bodyDiv w:val="1"/>
      <w:marLeft w:val="0"/>
      <w:marRight w:val="0"/>
      <w:marTop w:val="0"/>
      <w:marBottom w:val="0"/>
      <w:divBdr>
        <w:top w:val="none" w:sz="0" w:space="0" w:color="auto"/>
        <w:left w:val="none" w:sz="0" w:space="0" w:color="auto"/>
        <w:bottom w:val="none" w:sz="0" w:space="0" w:color="auto"/>
        <w:right w:val="none" w:sz="0" w:space="0" w:color="auto"/>
      </w:divBdr>
    </w:div>
    <w:div w:id="1866942681">
      <w:bodyDiv w:val="1"/>
      <w:marLeft w:val="0"/>
      <w:marRight w:val="0"/>
      <w:marTop w:val="0"/>
      <w:marBottom w:val="0"/>
      <w:divBdr>
        <w:top w:val="none" w:sz="0" w:space="0" w:color="auto"/>
        <w:left w:val="none" w:sz="0" w:space="0" w:color="auto"/>
        <w:bottom w:val="none" w:sz="0" w:space="0" w:color="auto"/>
        <w:right w:val="none" w:sz="0" w:space="0" w:color="auto"/>
      </w:divBdr>
    </w:div>
    <w:div w:id="1894073670">
      <w:bodyDiv w:val="1"/>
      <w:marLeft w:val="0"/>
      <w:marRight w:val="0"/>
      <w:marTop w:val="0"/>
      <w:marBottom w:val="0"/>
      <w:divBdr>
        <w:top w:val="none" w:sz="0" w:space="0" w:color="auto"/>
        <w:left w:val="none" w:sz="0" w:space="0" w:color="auto"/>
        <w:bottom w:val="none" w:sz="0" w:space="0" w:color="auto"/>
        <w:right w:val="none" w:sz="0" w:space="0" w:color="auto"/>
      </w:divBdr>
    </w:div>
    <w:div w:id="1905221020">
      <w:bodyDiv w:val="1"/>
      <w:marLeft w:val="0"/>
      <w:marRight w:val="0"/>
      <w:marTop w:val="0"/>
      <w:marBottom w:val="0"/>
      <w:divBdr>
        <w:top w:val="none" w:sz="0" w:space="0" w:color="auto"/>
        <w:left w:val="none" w:sz="0" w:space="0" w:color="auto"/>
        <w:bottom w:val="none" w:sz="0" w:space="0" w:color="auto"/>
        <w:right w:val="none" w:sz="0" w:space="0" w:color="auto"/>
      </w:divBdr>
    </w:div>
    <w:div w:id="1947929184">
      <w:bodyDiv w:val="1"/>
      <w:marLeft w:val="0"/>
      <w:marRight w:val="0"/>
      <w:marTop w:val="0"/>
      <w:marBottom w:val="0"/>
      <w:divBdr>
        <w:top w:val="none" w:sz="0" w:space="0" w:color="auto"/>
        <w:left w:val="none" w:sz="0" w:space="0" w:color="auto"/>
        <w:bottom w:val="none" w:sz="0" w:space="0" w:color="auto"/>
        <w:right w:val="none" w:sz="0" w:space="0" w:color="auto"/>
      </w:divBdr>
    </w:div>
    <w:div w:id="1968395368">
      <w:bodyDiv w:val="1"/>
      <w:marLeft w:val="0"/>
      <w:marRight w:val="0"/>
      <w:marTop w:val="0"/>
      <w:marBottom w:val="0"/>
      <w:divBdr>
        <w:top w:val="none" w:sz="0" w:space="0" w:color="auto"/>
        <w:left w:val="none" w:sz="0" w:space="0" w:color="auto"/>
        <w:bottom w:val="none" w:sz="0" w:space="0" w:color="auto"/>
        <w:right w:val="none" w:sz="0" w:space="0" w:color="auto"/>
      </w:divBdr>
    </w:div>
    <w:div w:id="206787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487C9-0895-435D-9EF9-A4AC12A20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7197</Words>
  <Characters>41028</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ỦY BAN NHÂN DÂN</vt:lpstr>
    </vt:vector>
  </TitlesOfParts>
  <Company>MS</Company>
  <LinksUpToDate>false</LinksUpToDate>
  <CharactersWithSpaces>48129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User</dc:creator>
  <cp:lastModifiedBy>Long Thieu</cp:lastModifiedBy>
  <cp:revision>13</cp:revision>
  <cp:lastPrinted>2017-12-08T08:17:00Z</cp:lastPrinted>
  <dcterms:created xsi:type="dcterms:W3CDTF">2017-12-07T07:48:00Z</dcterms:created>
  <dcterms:modified xsi:type="dcterms:W3CDTF">2017-12-08T08:18:00Z</dcterms:modified>
</cp:coreProperties>
</file>