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Look w:val="04A0" w:firstRow="1" w:lastRow="0" w:firstColumn="1" w:lastColumn="0" w:noHBand="0" w:noVBand="1"/>
      </w:tblPr>
      <w:tblGrid>
        <w:gridCol w:w="3402"/>
        <w:gridCol w:w="5670"/>
      </w:tblGrid>
      <w:tr w:rsidR="00966A8A" w:rsidTr="00966A8A">
        <w:tc>
          <w:tcPr>
            <w:tcW w:w="3402" w:type="dxa"/>
            <w:tcMar>
              <w:top w:w="0" w:type="dxa"/>
              <w:left w:w="0" w:type="dxa"/>
              <w:bottom w:w="0" w:type="dxa"/>
              <w:right w:w="0" w:type="dxa"/>
            </w:tcMar>
            <w:hideMark/>
          </w:tcPr>
          <w:p w:rsidR="00966A8A" w:rsidRDefault="00966A8A">
            <w:pPr>
              <w:widowControl w:val="0"/>
              <w:spacing w:line="276" w:lineRule="auto"/>
              <w:jc w:val="center"/>
              <w:rPr>
                <w:b/>
                <w:color w:val="000000"/>
                <w:w w:val="99"/>
                <w:sz w:val="27"/>
                <w:szCs w:val="27"/>
                <w:lang w:val="en-US"/>
              </w:rPr>
            </w:pPr>
            <w:r>
              <w:rPr>
                <w:b/>
                <w:color w:val="000000"/>
                <w:sz w:val="27"/>
                <w:szCs w:val="27"/>
                <w:lang w:val="en-US"/>
              </w:rPr>
              <w:t>HỘI ĐỒNG NHÂN DÂN</w:t>
            </w:r>
            <w:r>
              <w:rPr>
                <w:b/>
                <w:color w:val="000000"/>
                <w:sz w:val="27"/>
                <w:szCs w:val="27"/>
                <w:lang w:val="en-US"/>
              </w:rPr>
              <w:br/>
              <w:t>TỈNH</w:t>
            </w:r>
            <w:r>
              <w:rPr>
                <w:b/>
                <w:color w:val="000000"/>
                <w:sz w:val="27"/>
                <w:szCs w:val="27"/>
              </w:rPr>
              <w:t xml:space="preserve"> HÀ TĨNH</w:t>
            </w:r>
          </w:p>
          <w:p w:rsidR="00966A8A" w:rsidRDefault="00966A8A">
            <w:pPr>
              <w:widowControl w:val="0"/>
              <w:spacing w:line="276" w:lineRule="auto"/>
              <w:jc w:val="center"/>
              <w:rPr>
                <w:color w:val="000000"/>
                <w:spacing w:val="-24"/>
                <w:w w:val="90"/>
                <w:sz w:val="2"/>
                <w:szCs w:val="2"/>
                <w:lang w:val="en-US"/>
              </w:rPr>
            </w:pPr>
            <w:r>
              <w:rPr>
                <w:noProof/>
                <w:lang w:val="en-US"/>
              </w:rPr>
              <mc:AlternateContent>
                <mc:Choice Requires="wps">
                  <w:drawing>
                    <wp:inline distT="0" distB="0" distL="0" distR="0">
                      <wp:extent cx="720090" cy="0"/>
                      <wp:effectExtent l="0" t="0" r="22860" b="19050"/>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56.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As7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">
                      <w10:anchorlock/>
                    </v:line>
                  </w:pict>
                </mc:Fallback>
              </mc:AlternateContent>
            </w:r>
          </w:p>
        </w:tc>
        <w:tc>
          <w:tcPr>
            <w:tcW w:w="5670" w:type="dxa"/>
            <w:tcMar>
              <w:top w:w="0" w:type="dxa"/>
              <w:left w:w="0" w:type="dxa"/>
              <w:bottom w:w="0" w:type="dxa"/>
              <w:right w:w="0" w:type="dxa"/>
            </w:tcMar>
            <w:hideMark/>
          </w:tcPr>
          <w:p w:rsidR="00966A8A" w:rsidRDefault="00966A8A">
            <w:pPr>
              <w:widowControl w:val="0"/>
              <w:spacing w:line="276" w:lineRule="auto"/>
              <w:jc w:val="center"/>
              <w:rPr>
                <w:b/>
                <w:color w:val="000000"/>
                <w:sz w:val="27"/>
                <w:szCs w:val="27"/>
                <w:lang w:val="en-US"/>
              </w:rPr>
            </w:pPr>
            <w:r>
              <w:rPr>
                <w:b/>
                <w:color w:val="000000"/>
                <w:sz w:val="27"/>
                <w:szCs w:val="27"/>
                <w:lang w:val="en-US"/>
              </w:rPr>
              <w:t>CỘNG HÒA XÃ HỘI CHỦ NGHĨA VIỆT NAM</w:t>
            </w:r>
          </w:p>
          <w:p w:rsidR="00966A8A" w:rsidRDefault="00966A8A">
            <w:pPr>
              <w:widowControl w:val="0"/>
              <w:spacing w:line="276" w:lineRule="auto"/>
              <w:jc w:val="center"/>
              <w:rPr>
                <w:b/>
                <w:color w:val="000000"/>
                <w:szCs w:val="28"/>
                <w:lang w:val="en-US"/>
              </w:rPr>
            </w:pPr>
            <w:r>
              <w:rPr>
                <w:b/>
                <w:color w:val="000000"/>
                <w:szCs w:val="28"/>
              </w:rPr>
              <w:t>Độc lập - Tự do - Hạnh phúc</w:t>
            </w:r>
          </w:p>
          <w:p w:rsidR="00966A8A" w:rsidRDefault="00966A8A">
            <w:pPr>
              <w:widowControl w:val="0"/>
              <w:spacing w:line="276" w:lineRule="auto"/>
              <w:jc w:val="center"/>
              <w:rPr>
                <w:color w:val="000000"/>
                <w:spacing w:val="-24"/>
                <w:w w:val="90"/>
                <w:sz w:val="2"/>
                <w:szCs w:val="2"/>
                <w:lang w:val="en-US"/>
              </w:rPr>
            </w:pPr>
            <w:r>
              <w:rPr>
                <w:noProof/>
                <w:lang w:val="en-US"/>
              </w:rPr>
              <mc:AlternateContent>
                <mc:Choice Requires="wps">
                  <w:drawing>
                    <wp:inline distT="0" distB="0" distL="0" distR="0">
                      <wp:extent cx="2160270" cy="0"/>
                      <wp:effectExtent l="0" t="0" r="11430" b="19050"/>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170.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HVE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k2S/Mn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">
                      <w10:anchorlock/>
                    </v:line>
                  </w:pict>
                </mc:Fallback>
              </mc:AlternateContent>
            </w:r>
          </w:p>
        </w:tc>
      </w:tr>
      <w:tr w:rsidR="00966A8A" w:rsidTr="00966A8A">
        <w:trPr>
          <w:trHeight w:val="454"/>
        </w:trPr>
        <w:tc>
          <w:tcPr>
            <w:tcW w:w="3402" w:type="dxa"/>
            <w:tcMar>
              <w:top w:w="0" w:type="dxa"/>
              <w:left w:w="0" w:type="dxa"/>
              <w:bottom w:w="0" w:type="dxa"/>
              <w:right w:w="0" w:type="dxa"/>
            </w:tcMar>
            <w:vAlign w:val="bottom"/>
            <w:hideMark/>
          </w:tcPr>
          <w:p w:rsidR="00966A8A" w:rsidRDefault="00966A8A">
            <w:pPr>
              <w:widowControl w:val="0"/>
              <w:spacing w:before="120" w:line="276" w:lineRule="auto"/>
              <w:jc w:val="center"/>
              <w:rPr>
                <w:color w:val="000000"/>
                <w:spacing w:val="-24"/>
                <w:w w:val="90"/>
                <w:sz w:val="26"/>
                <w:szCs w:val="26"/>
                <w:lang w:val="en-US"/>
              </w:rPr>
            </w:pPr>
            <w:r>
              <w:rPr>
                <w:color w:val="000000"/>
                <w:sz w:val="26"/>
                <w:szCs w:val="26"/>
                <w:lang w:val="en-US"/>
              </w:rPr>
              <w:t>Số:        /2019/NQ-HĐND</w:t>
            </w:r>
          </w:p>
        </w:tc>
        <w:tc>
          <w:tcPr>
            <w:tcW w:w="5670" w:type="dxa"/>
            <w:tcMar>
              <w:top w:w="0" w:type="dxa"/>
              <w:left w:w="0" w:type="dxa"/>
              <w:bottom w:w="0" w:type="dxa"/>
              <w:right w:w="0" w:type="dxa"/>
            </w:tcMar>
            <w:vAlign w:val="bottom"/>
            <w:hideMark/>
          </w:tcPr>
          <w:p w:rsidR="00966A8A" w:rsidRDefault="00966A8A">
            <w:pPr>
              <w:spacing w:line="276" w:lineRule="auto"/>
              <w:jc w:val="center"/>
              <w:rPr>
                <w:b/>
                <w:color w:val="000000"/>
                <w:spacing w:val="-24"/>
                <w:sz w:val="26"/>
                <w:szCs w:val="26"/>
                <w:lang w:val="en-US"/>
              </w:rPr>
            </w:pPr>
            <w:r>
              <w:rPr>
                <w:i/>
                <w:color w:val="000000"/>
                <w:szCs w:val="28"/>
              </w:rPr>
              <w:t xml:space="preserve">Hà Tĩnh, ngày </w:t>
            </w:r>
            <w:r>
              <w:rPr>
                <w:i/>
                <w:color w:val="000000"/>
                <w:szCs w:val="28"/>
                <w:lang w:val="en-US"/>
              </w:rPr>
              <w:t xml:space="preserve">   </w:t>
            </w:r>
            <w:r>
              <w:rPr>
                <w:i/>
                <w:color w:val="000000"/>
                <w:szCs w:val="28"/>
              </w:rPr>
              <w:t xml:space="preserve"> tháng </w:t>
            </w:r>
            <w:r>
              <w:rPr>
                <w:i/>
                <w:color w:val="000000"/>
                <w:szCs w:val="28"/>
                <w:lang w:val="en-US"/>
              </w:rPr>
              <w:t xml:space="preserve">   </w:t>
            </w:r>
            <w:r>
              <w:rPr>
                <w:i/>
                <w:color w:val="000000"/>
                <w:szCs w:val="28"/>
              </w:rPr>
              <w:t xml:space="preserve"> năm 201</w:t>
            </w:r>
            <w:r>
              <w:rPr>
                <w:i/>
                <w:color w:val="000000"/>
                <w:szCs w:val="28"/>
                <w:lang w:val="en-US"/>
              </w:rPr>
              <w:t>9</w:t>
            </w:r>
          </w:p>
        </w:tc>
      </w:tr>
      <w:tr w:rsidR="00966A8A" w:rsidTr="00966A8A">
        <w:trPr>
          <w:trHeight w:val="454"/>
        </w:trPr>
        <w:tc>
          <w:tcPr>
            <w:tcW w:w="3402" w:type="dxa"/>
            <w:tcMar>
              <w:top w:w="0" w:type="dxa"/>
              <w:left w:w="0" w:type="dxa"/>
              <w:bottom w:w="0" w:type="dxa"/>
              <w:right w:w="0" w:type="dxa"/>
            </w:tcMar>
            <w:vAlign w:val="center"/>
            <w:hideMark/>
          </w:tcPr>
          <w:p w:rsidR="00966A8A" w:rsidRDefault="00966A8A">
            <w:pPr>
              <w:spacing w:line="276" w:lineRule="auto"/>
              <w:rPr>
                <w:b/>
                <w:color w:val="000000"/>
                <w:lang w:val="en-US"/>
              </w:rPr>
            </w:pPr>
            <w:r>
              <w:rPr>
                <w:b/>
                <w:color w:val="000000"/>
                <w:sz w:val="24"/>
                <w:lang w:val="en-US"/>
              </w:rPr>
              <w:t>(DỰ THẢO ngày 09/7/2019)</w:t>
            </w:r>
          </w:p>
        </w:tc>
        <w:tc>
          <w:tcPr>
            <w:tcW w:w="5670" w:type="dxa"/>
            <w:tcMar>
              <w:top w:w="0" w:type="dxa"/>
              <w:left w:w="0" w:type="dxa"/>
              <w:bottom w:w="0" w:type="dxa"/>
              <w:right w:w="0" w:type="dxa"/>
            </w:tcMar>
            <w:vAlign w:val="bottom"/>
          </w:tcPr>
          <w:p w:rsidR="00966A8A" w:rsidRDefault="00966A8A">
            <w:pPr>
              <w:spacing w:line="276" w:lineRule="auto"/>
              <w:jc w:val="center"/>
              <w:rPr>
                <w:i/>
                <w:color w:val="000000"/>
                <w:szCs w:val="28"/>
              </w:rPr>
            </w:pPr>
          </w:p>
        </w:tc>
      </w:tr>
    </w:tbl>
    <w:p w:rsidR="00966A8A" w:rsidRDefault="00966A8A" w:rsidP="00966A8A">
      <w:pPr>
        <w:pStyle w:val="Heading1"/>
        <w:spacing w:before="0" w:after="0" w:line="240" w:lineRule="auto"/>
        <w:rPr>
          <w:color w:val="000000"/>
          <w:lang w:val="en-US"/>
        </w:rPr>
      </w:pPr>
    </w:p>
    <w:p w:rsidR="00966A8A" w:rsidRDefault="00966A8A" w:rsidP="00966A8A">
      <w:pPr>
        <w:pStyle w:val="Heading1"/>
        <w:spacing w:before="0" w:after="0" w:line="240" w:lineRule="auto"/>
        <w:rPr>
          <w:color w:val="000000"/>
          <w:sz w:val="2"/>
          <w:szCs w:val="2"/>
        </w:rPr>
      </w:pPr>
      <w:r>
        <w:rPr>
          <w:color w:val="000000"/>
        </w:rPr>
        <w:t>NGHỊ QUYẾT</w:t>
      </w:r>
      <w:r>
        <w:rPr>
          <w:color w:val="000000"/>
        </w:rPr>
        <w:br/>
      </w:r>
      <w:r>
        <w:rPr>
          <w:color w:val="000000"/>
          <w:lang w:val="en-US"/>
        </w:rPr>
        <w:t>V</w:t>
      </w:r>
      <w:r>
        <w:rPr>
          <w:color w:val="000000"/>
        </w:rPr>
        <w:t>ề phát triển bóng đá Hà Tĩnh</w:t>
      </w:r>
      <w:r>
        <w:rPr>
          <w:color w:val="000000"/>
          <w:lang w:val="en-US"/>
        </w:rPr>
        <w:t xml:space="preserve"> </w:t>
      </w:r>
      <w:r>
        <w:rPr>
          <w:color w:val="000000"/>
        </w:rPr>
        <w:t>đến năm 2030</w:t>
      </w:r>
      <w:r>
        <w:rPr>
          <w:color w:val="000000"/>
        </w:rPr>
        <w:br/>
      </w:r>
      <w:r>
        <w:rPr>
          <w:noProof/>
          <w:lang w:val="en-US" w:eastAsia="en-US"/>
        </w:rPr>
        <mc:AlternateContent>
          <mc:Choice Requires="wps">
            <w:drawing>
              <wp:inline distT="0" distB="0" distL="0" distR="0">
                <wp:extent cx="1049655" cy="0"/>
                <wp:effectExtent l="0" t="0" r="17145" b="19050"/>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9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82.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QHQ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pfkinYC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">
                <w10:anchorlock/>
              </v:line>
            </w:pict>
          </mc:Fallback>
        </mc:AlternateContent>
      </w:r>
    </w:p>
    <w:p w:rsidR="00966A8A" w:rsidRDefault="00966A8A" w:rsidP="00966A8A">
      <w:pPr>
        <w:pStyle w:val="Noidung"/>
        <w:rPr>
          <w:i/>
          <w:color w:val="000000"/>
          <w:sz w:val="2"/>
        </w:rPr>
      </w:pPr>
    </w:p>
    <w:p w:rsidR="00966A8A" w:rsidRDefault="00966A8A" w:rsidP="00966A8A">
      <w:pPr>
        <w:pStyle w:val="Noidung"/>
        <w:rPr>
          <w:i/>
          <w:color w:val="000000"/>
        </w:rPr>
      </w:pPr>
      <w:r>
        <w:rPr>
          <w:i/>
          <w:color w:val="000000"/>
        </w:rPr>
        <w:t>Căn cứ Luật Tổ chức chính quyền địa phương ngày 19 tháng 6 năm 2015;</w:t>
      </w:r>
    </w:p>
    <w:p w:rsidR="00966A8A" w:rsidRDefault="00966A8A" w:rsidP="00966A8A">
      <w:pPr>
        <w:pStyle w:val="Noidung"/>
        <w:rPr>
          <w:i/>
          <w:color w:val="000000"/>
        </w:rPr>
      </w:pPr>
      <w:r>
        <w:rPr>
          <w:i/>
          <w:color w:val="000000"/>
        </w:rPr>
        <w:t xml:space="preserve">Căn cứ Luật Ban hành văn bản quy phạm pháp luật ngày 22 tháng 6 năm </w:t>
      </w:r>
      <w:proofErr w:type="gramStart"/>
      <w:r>
        <w:rPr>
          <w:i/>
          <w:color w:val="000000"/>
        </w:rPr>
        <w:t>2015;</w:t>
      </w:r>
      <w:proofErr w:type="gramEnd"/>
    </w:p>
    <w:p w:rsidR="00966A8A" w:rsidRDefault="00966A8A" w:rsidP="00966A8A">
      <w:pPr>
        <w:pStyle w:val="Noidung"/>
        <w:rPr>
          <w:i/>
          <w:color w:val="000000"/>
        </w:rPr>
      </w:pPr>
      <w:r>
        <w:rPr>
          <w:i/>
          <w:color w:val="000000"/>
        </w:rPr>
        <w:t>Căn cứ Luật Thể dục, thể thao năm 2006 ngày 29 tháng 11 năm 2006 và Luật sửa đổi, bổ sung một số điều của Luật Thể dục, thể thao ngày 14/6/2018;</w:t>
      </w:r>
    </w:p>
    <w:p w:rsidR="00966A8A" w:rsidRDefault="00966A8A" w:rsidP="00966A8A">
      <w:pPr>
        <w:pStyle w:val="Noidung"/>
        <w:rPr>
          <w:i/>
          <w:color w:val="000000"/>
        </w:rPr>
      </w:pPr>
      <w:r>
        <w:rPr>
          <w:i/>
          <w:color w:val="000000"/>
        </w:rPr>
        <w:t>Căn cứ Nghị định số 69/2008/NĐ-CP ngày 30 tháng 5 năm 2015 của Chính phủ về Chính sách khuyến khích xã hội hoá đối với các hoạt động trong lĩnh vực giáo dục, dạy nghề, y tế, văn hoá, thể thao và môi trường;</w:t>
      </w:r>
    </w:p>
    <w:p w:rsidR="00966A8A" w:rsidRDefault="00966A8A" w:rsidP="00966A8A">
      <w:pPr>
        <w:pStyle w:val="Noidung"/>
        <w:rPr>
          <w:i/>
          <w:color w:val="000000"/>
        </w:rPr>
      </w:pPr>
      <w:r>
        <w:rPr>
          <w:i/>
          <w:color w:val="000000"/>
        </w:rPr>
        <w:t>Căn cứ Nghị định số 152/2018/NĐ-CP ngày 07 tháng 11 năm 2018 của Chính phủ quy định một số chế độ đối với huấn luyện viên, vận động viên thể thao trong thời gian tập trung tập huấn, thi đấu;</w:t>
      </w:r>
    </w:p>
    <w:p w:rsidR="00966A8A" w:rsidRDefault="00966A8A" w:rsidP="00966A8A">
      <w:pPr>
        <w:pStyle w:val="Noidung"/>
        <w:rPr>
          <w:i/>
          <w:color w:val="000000"/>
        </w:rPr>
      </w:pPr>
      <w:r>
        <w:rPr>
          <w:i/>
          <w:color w:val="000000"/>
        </w:rPr>
        <w:t>Căn cứ Thông tư số 61/2018/TT-BTC ngày 26 tháng 7 năm 2018 của Bộ trưởng Bộ Tài chính quy định nội dung và mức chi để thực hiện chế độ dinh dưỡng đối với vận động viên, huấn luyện viên thể thao thành tích cao;</w:t>
      </w:r>
    </w:p>
    <w:p w:rsidR="00966A8A" w:rsidRDefault="00966A8A" w:rsidP="00966A8A">
      <w:pPr>
        <w:pStyle w:val="Noidung"/>
        <w:rPr>
          <w:i/>
          <w:color w:val="000000"/>
        </w:rPr>
      </w:pPr>
      <w:r>
        <w:rPr>
          <w:i/>
          <w:color w:val="000000"/>
        </w:rPr>
        <w:t>Thực hiện Quyết định số 419/QĐ-TTg ngày ngày 08 tháng 3 năm 2013 của Thủ tướng Chính phủ về phê duyệt “Chiến lược phát triển Bóng đá Việt Nam đến năm 2020, tầm nhìn đến năm 2030”;</w:t>
      </w:r>
    </w:p>
    <w:p w:rsidR="00966A8A" w:rsidRDefault="00966A8A" w:rsidP="00966A8A">
      <w:pPr>
        <w:pStyle w:val="Noidung"/>
        <w:rPr>
          <w:i/>
          <w:color w:val="000000"/>
        </w:rPr>
      </w:pPr>
      <w:r>
        <w:rPr>
          <w:i/>
          <w:color w:val="000000"/>
        </w:rPr>
        <w:t xml:space="preserve">Xét Tờ trình số     /TTr-UBND ngày     </w:t>
      </w:r>
      <w:proofErr w:type="gramStart"/>
      <w:r>
        <w:rPr>
          <w:i/>
          <w:color w:val="000000"/>
        </w:rPr>
        <w:t>tháng  7</w:t>
      </w:r>
      <w:proofErr w:type="gramEnd"/>
      <w:r>
        <w:rPr>
          <w:i/>
          <w:color w:val="000000"/>
        </w:rPr>
        <w:t xml:space="preserve"> năm 2019 của Ủy ban nhân dân tỉnh về việc ban hành Nghị quyết về Phát triển bóng đá Hà Tĩnh đến năm 2030; Báo cáo thẩm tra của Ban văn hóa - xã hội và ý kiến thảo luận của đại biểu Hội đồng nhân dân tỉnh tại kỳ họp thứ 10, Hội đồng nhân dân tỉnh khóa XVII.</w:t>
      </w:r>
    </w:p>
    <w:p w:rsidR="00966A8A" w:rsidRDefault="00966A8A" w:rsidP="00966A8A">
      <w:pPr>
        <w:pStyle w:val="Heading2"/>
        <w:rPr>
          <w:rFonts w:eastAsia="Calibri"/>
          <w:color w:val="000000"/>
          <w:lang w:val="en-US"/>
        </w:rPr>
      </w:pPr>
      <w:r>
        <w:rPr>
          <w:rFonts w:eastAsia="Calibri"/>
          <w:color w:val="000000"/>
        </w:rPr>
        <w:t>QUYẾT NGHỊ:</w:t>
      </w:r>
    </w:p>
    <w:p w:rsidR="00966A8A" w:rsidRDefault="00966A8A" w:rsidP="00966A8A">
      <w:pPr>
        <w:rPr>
          <w:lang w:val="en-US" w:eastAsia="x-none"/>
        </w:rPr>
      </w:pPr>
    </w:p>
    <w:p w:rsidR="00966A8A" w:rsidRDefault="00966A8A" w:rsidP="00966A8A">
      <w:pPr>
        <w:jc w:val="both"/>
        <w:rPr>
          <w:lang w:val="en-US" w:eastAsia="x-none"/>
        </w:rPr>
      </w:pPr>
      <w:r>
        <w:rPr>
          <w:lang w:val="en-US" w:eastAsia="x-none"/>
        </w:rPr>
        <w:tab/>
        <w:t>Thông qua Nghị Quyết phát triển Bóng đá Hà Tĩnh đến năm 2030 với những nội dung sau:</w:t>
      </w:r>
    </w:p>
    <w:p w:rsidR="00966A8A" w:rsidRDefault="00966A8A" w:rsidP="00966A8A">
      <w:pPr>
        <w:pStyle w:val="Heading2"/>
        <w:rPr>
          <w:rFonts w:eastAsia="Calibri"/>
          <w:color w:val="000000"/>
        </w:rPr>
      </w:pPr>
      <w:r>
        <w:rPr>
          <w:rFonts w:eastAsia="Calibri"/>
          <w:color w:val="000000"/>
        </w:rPr>
        <w:t>Chương I</w:t>
      </w:r>
      <w:r>
        <w:rPr>
          <w:rFonts w:eastAsia="Calibri"/>
          <w:color w:val="000000"/>
        </w:rPr>
        <w:br/>
        <w:t>NHỮNG QUY ĐỊNH CHUNG</w:t>
      </w:r>
    </w:p>
    <w:p w:rsidR="00966A8A" w:rsidRDefault="00966A8A" w:rsidP="00966A8A">
      <w:pPr>
        <w:pStyle w:val="Heading3"/>
        <w:rPr>
          <w:color w:val="000000"/>
        </w:rPr>
      </w:pPr>
      <w:proofErr w:type="gramStart"/>
      <w:r>
        <w:rPr>
          <w:color w:val="000000"/>
        </w:rPr>
        <w:t>Điều 1.</w:t>
      </w:r>
      <w:proofErr w:type="gramEnd"/>
      <w:r>
        <w:rPr>
          <w:color w:val="000000"/>
        </w:rPr>
        <w:t xml:space="preserve"> Phạm </w:t>
      </w:r>
      <w:proofErr w:type="gramStart"/>
      <w:r>
        <w:rPr>
          <w:color w:val="000000"/>
        </w:rPr>
        <w:t>vi</w:t>
      </w:r>
      <w:proofErr w:type="gramEnd"/>
      <w:r>
        <w:rPr>
          <w:color w:val="000000"/>
        </w:rPr>
        <w:t xml:space="preserve"> điều chỉnh</w:t>
      </w:r>
    </w:p>
    <w:p w:rsidR="00966A8A" w:rsidRDefault="00966A8A" w:rsidP="00966A8A">
      <w:pPr>
        <w:pStyle w:val="Noidung"/>
        <w:rPr>
          <w:color w:val="000000"/>
        </w:rPr>
      </w:pPr>
      <w:proofErr w:type="gramStart"/>
      <w:r>
        <w:rPr>
          <w:color w:val="000000"/>
        </w:rPr>
        <w:t xml:space="preserve">Nghị quyết này quy định về mục tiêu, giải pháp và chính sách phát triển </w:t>
      </w:r>
      <w:r>
        <w:rPr>
          <w:color w:val="000000"/>
        </w:rPr>
        <w:lastRenderedPageBreak/>
        <w:t>bóng đá trên địa bàn tỉnh Hà Tĩnh đến năm 2030.</w:t>
      </w:r>
      <w:proofErr w:type="gramEnd"/>
    </w:p>
    <w:p w:rsidR="00966A8A" w:rsidRDefault="00966A8A" w:rsidP="00966A8A">
      <w:pPr>
        <w:pStyle w:val="Heading3"/>
        <w:rPr>
          <w:color w:val="000000"/>
        </w:rPr>
      </w:pPr>
      <w:proofErr w:type="gramStart"/>
      <w:r>
        <w:rPr>
          <w:color w:val="000000"/>
        </w:rPr>
        <w:t>Điều 2.</w:t>
      </w:r>
      <w:proofErr w:type="gramEnd"/>
      <w:r>
        <w:rPr>
          <w:color w:val="000000"/>
        </w:rPr>
        <w:t xml:space="preserve"> Đối tượng áp dụng</w:t>
      </w:r>
    </w:p>
    <w:p w:rsidR="00966A8A" w:rsidRDefault="00966A8A" w:rsidP="00966A8A">
      <w:pPr>
        <w:pStyle w:val="Noidung"/>
        <w:rPr>
          <w:color w:val="000000"/>
        </w:rPr>
      </w:pPr>
      <w:r>
        <w:rPr>
          <w:color w:val="000000"/>
        </w:rPr>
        <w:t>1. Huấn luyện viên, vận động viên bóng đá.</w:t>
      </w:r>
    </w:p>
    <w:p w:rsidR="00966A8A" w:rsidRDefault="00966A8A" w:rsidP="00966A8A">
      <w:pPr>
        <w:pStyle w:val="Heading3"/>
        <w:rPr>
          <w:b w:val="0"/>
          <w:color w:val="000000"/>
        </w:rPr>
      </w:pPr>
      <w:r>
        <w:rPr>
          <w:b w:val="0"/>
          <w:color w:val="000000"/>
        </w:rPr>
        <w:t>2. Các sở, ban, ngành cấp tỉnh liên quan; UBND cấp huyện, cấp xã.</w:t>
      </w:r>
    </w:p>
    <w:p w:rsidR="00966A8A" w:rsidRDefault="00966A8A" w:rsidP="00966A8A">
      <w:pPr>
        <w:pStyle w:val="Noidung"/>
        <w:rPr>
          <w:color w:val="000000"/>
        </w:rPr>
      </w:pPr>
      <w:r>
        <w:rPr>
          <w:color w:val="000000"/>
        </w:rPr>
        <w:t xml:space="preserve">3. Tổ chức, cá nhân khác có liên quan. </w:t>
      </w:r>
    </w:p>
    <w:p w:rsidR="00966A8A" w:rsidRDefault="00966A8A" w:rsidP="00966A8A">
      <w:pPr>
        <w:pStyle w:val="Heading2"/>
        <w:rPr>
          <w:rFonts w:eastAsia="Calibri"/>
          <w:color w:val="000000"/>
          <w:lang w:val="en-US"/>
        </w:rPr>
      </w:pPr>
      <w:r>
        <w:rPr>
          <w:rFonts w:eastAsia="Calibri"/>
          <w:color w:val="000000"/>
        </w:rPr>
        <w:t xml:space="preserve">Chương </w:t>
      </w:r>
      <w:r>
        <w:rPr>
          <w:rFonts w:eastAsia="Calibri"/>
          <w:color w:val="000000"/>
          <w:lang w:val="en-US"/>
        </w:rPr>
        <w:t>II</w:t>
      </w:r>
      <w:r>
        <w:rPr>
          <w:rFonts w:eastAsia="Calibri"/>
          <w:color w:val="000000"/>
          <w:lang w:val="en-US"/>
        </w:rPr>
        <w:br/>
        <w:t>MỤC TIÊU VÀ GIẢI PHÁP</w:t>
      </w:r>
    </w:p>
    <w:p w:rsidR="00966A8A" w:rsidRDefault="00966A8A" w:rsidP="00966A8A">
      <w:pPr>
        <w:pStyle w:val="Heading3"/>
        <w:rPr>
          <w:color w:val="000000"/>
        </w:rPr>
      </w:pPr>
      <w:proofErr w:type="gramStart"/>
      <w:r>
        <w:rPr>
          <w:color w:val="000000"/>
        </w:rPr>
        <w:t>Điều 3.</w:t>
      </w:r>
      <w:proofErr w:type="gramEnd"/>
      <w:r>
        <w:rPr>
          <w:color w:val="000000"/>
        </w:rPr>
        <w:t xml:space="preserve"> Muc tiêu</w:t>
      </w:r>
    </w:p>
    <w:p w:rsidR="00966A8A" w:rsidRDefault="00966A8A" w:rsidP="00966A8A">
      <w:pPr>
        <w:pStyle w:val="Noidung"/>
        <w:rPr>
          <w:color w:val="000000"/>
        </w:rPr>
      </w:pPr>
      <w:r>
        <w:rPr>
          <w:color w:val="000000"/>
        </w:rPr>
        <w:t xml:space="preserve">Tập trung sự lãnh đạo chỉ đạo, ưu tiên nguồn lực để phát triển đồng bộ nền bóng đá Hà Tĩnh, từ bóng đá trường học, bóng đá phong trào đến bóng đá chuyên nghiệp đỉnh cao. Lấy bóng đá học đường, bóng đá phong trào làm nền tảng để xây dựng và phát triển cho bóng đá chuyên nghiệp đỉnh cao và ngược lại bóng đá chuyên nghiệp làm động lực cho việc phát triển bóng đá phong trào, đồng thời tạo sức lan tỏa đến quần chúng nhân dân. Phát triển bóng đá Hà Tĩnh </w:t>
      </w:r>
      <w:proofErr w:type="gramStart"/>
      <w:r>
        <w:rPr>
          <w:color w:val="000000"/>
        </w:rPr>
        <w:t>theo</w:t>
      </w:r>
      <w:proofErr w:type="gramEnd"/>
      <w:r>
        <w:rPr>
          <w:color w:val="000000"/>
        </w:rPr>
        <w:t xml:space="preserve"> hướng toàn diện và bền vững. Đẩy mạnh phát triển bóng đá học đường và bóng đá phong trào trên địa bàn dân cư, tạo điều kiện và khuyến khích tập luyện bóng đá đối với các lứa tuổi thanh, thiếu niên nhằm nâng cao sức khỏe thể chất và văn hóa tinh thần cho nhân dân, phấn đấu đến năm 2025 toàn tỉnh có 350 Câu lạc bộ và đến năm 2030 có 400 câu lạc bộ bóng đá phong trào, học đường hoạt động. </w:t>
      </w:r>
    </w:p>
    <w:p w:rsidR="00966A8A" w:rsidRDefault="00966A8A" w:rsidP="00966A8A">
      <w:pPr>
        <w:pStyle w:val="Noidung"/>
        <w:rPr>
          <w:color w:val="000000"/>
        </w:rPr>
      </w:pPr>
      <w:r>
        <w:rPr>
          <w:color w:val="000000"/>
        </w:rPr>
        <w:t>Xây dựng 06 lớp nghiệp dư bóng đá liên huyện, thành phố, thị xã để tạo nguồn vận động viên, từng bước hoàn thiện hệ thống đào tạo bóng đá ở tỉnh, phấn đấu đến năm 2025 hệ thống đào tạo bóng đá của tỉnh Hà Tĩnh có các đội từ lứa tuổi U11 đến U17 và từ sau năm 2025 đến năm 2030 có đủ các tuyến từ lứa tuổi U11 đến U21, tham gia đầy đủ giải vô địch quốc gia các lứa tuổi, phấn đấu vào vòng chung kết và đạt huy chương; tạo nền tảng và cung cấp vận động viên về lâu dài, nòng cốt cơ bản của câu lạc bộ chuyên nghiệp Hà Tĩnh là các vận động viên người Hà Tĩnh. Phấn đấu để năm 2020, câu lạc bộ bóng đá chuyên nghiệp Hà Tĩnh thăng hạng tham gia ở giải Vô địch Quốc gia Việt Nam (V-League 1) và duy trì vững chắc, từng bước vươn lên tốp trên bảng xếp hạng.</w:t>
      </w:r>
    </w:p>
    <w:p w:rsidR="00966A8A" w:rsidRDefault="00966A8A" w:rsidP="00966A8A">
      <w:pPr>
        <w:pStyle w:val="Heading3"/>
        <w:rPr>
          <w:color w:val="000000"/>
        </w:rPr>
      </w:pPr>
      <w:proofErr w:type="gramStart"/>
      <w:r>
        <w:rPr>
          <w:color w:val="000000"/>
        </w:rPr>
        <w:t>Điều 4.</w:t>
      </w:r>
      <w:proofErr w:type="gramEnd"/>
      <w:r>
        <w:rPr>
          <w:color w:val="000000"/>
        </w:rPr>
        <w:t xml:space="preserve"> Giải pháp cụ thể</w:t>
      </w:r>
    </w:p>
    <w:p w:rsidR="00966A8A" w:rsidRDefault="00966A8A" w:rsidP="00966A8A">
      <w:pPr>
        <w:pStyle w:val="Heading4"/>
        <w:rPr>
          <w:b w:val="0"/>
          <w:i w:val="0"/>
          <w:color w:val="000000"/>
          <w:lang w:val="en-US"/>
        </w:rPr>
      </w:pPr>
      <w:r>
        <w:rPr>
          <w:b w:val="0"/>
          <w:i w:val="0"/>
          <w:color w:val="000000"/>
        </w:rPr>
        <w:t>1. Đẩy mạnh phát triển phong trào bóng đá trong thanh</w:t>
      </w:r>
      <w:r>
        <w:rPr>
          <w:b w:val="0"/>
          <w:i w:val="0"/>
          <w:color w:val="000000"/>
          <w:lang w:val="en-US"/>
        </w:rPr>
        <w:t>,</w:t>
      </w:r>
      <w:r>
        <w:rPr>
          <w:b w:val="0"/>
          <w:i w:val="0"/>
          <w:color w:val="000000"/>
        </w:rPr>
        <w:t xml:space="preserve"> thiếu niên</w:t>
      </w:r>
      <w:r>
        <w:rPr>
          <w:b w:val="0"/>
          <w:i w:val="0"/>
          <w:color w:val="000000"/>
          <w:lang w:val="en-US"/>
        </w:rPr>
        <w:t>, nhi đồng.</w:t>
      </w:r>
    </w:p>
    <w:p w:rsidR="00966A8A" w:rsidRDefault="00966A8A" w:rsidP="00966A8A">
      <w:pPr>
        <w:pStyle w:val="Noidung"/>
        <w:rPr>
          <w:color w:val="000000"/>
        </w:rPr>
      </w:pPr>
      <w:r>
        <w:rPr>
          <w:color w:val="000000"/>
        </w:rPr>
        <w:t>Xây dựng “Chương trình phát triển bóng đá học đường” trong các trường tiểu học và trung học cơ sở trên toàn tỉnh, đẩy mạnh việc đầu tư bóng đá học đường; đưa môn bóng đá vào chương trình tổ chức các hoạt động ngoại khóa, là cơ sở để tuyển chọn vận động viên cho các tuyến trong hệ thống đào tạo của bóng đá Hà Tĩnh.</w:t>
      </w:r>
    </w:p>
    <w:p w:rsidR="00966A8A" w:rsidRDefault="00966A8A" w:rsidP="00966A8A">
      <w:pPr>
        <w:pStyle w:val="Noidung"/>
        <w:rPr>
          <w:color w:val="000000"/>
        </w:rPr>
      </w:pPr>
      <w:r>
        <w:rPr>
          <w:color w:val="000000"/>
        </w:rPr>
        <w:t>Phát triển mạng lưới câu lạc bộ, xây dựng hệ thống bóng đá phong trào từ tỉnh đến cơ sở, phát triển các câu lạc bộ bóng đá tại các xã, phường, thôn, khu phố, cụm dân cư, doanh nghiệp, đơn vị vũ trang, tổ chức đoàn thể...; tổ chức tập huấn cho huấn luyện viên, cộng tác viên, trọng tài bóng đá phong trào.</w:t>
      </w:r>
    </w:p>
    <w:p w:rsidR="00966A8A" w:rsidRDefault="00966A8A" w:rsidP="00966A8A">
      <w:pPr>
        <w:pStyle w:val="Noidung"/>
        <w:rPr>
          <w:color w:val="000000"/>
        </w:rPr>
      </w:pPr>
      <w:r>
        <w:rPr>
          <w:color w:val="000000"/>
        </w:rPr>
        <w:t xml:space="preserve">Xây dựng hệ thống giải bóng đá phong trào các cấp hàng năm: tổ chức 04 giải bóng đá cấp tỉnh/năm và tăng dần theo từng giai đoạn; tổ chức từ 2-3 giải bóng đá cấp huyện/năm và tăng dần theo từng giai đoạn; tổ chức từ 1-2 giải bóng đá cấp xã/năm và tăng dần theo từng giai đoạn. Đăng </w:t>
      </w:r>
      <w:proofErr w:type="gramStart"/>
      <w:r>
        <w:rPr>
          <w:color w:val="000000"/>
        </w:rPr>
        <w:t>cai</w:t>
      </w:r>
      <w:proofErr w:type="gramEnd"/>
      <w:r>
        <w:rPr>
          <w:color w:val="000000"/>
        </w:rPr>
        <w:t xml:space="preserve"> tổ chức giải quốc gia, quốc tế khi điều kiện cơ sở vật chất và nguồn kinh phí đảm bảo.</w:t>
      </w:r>
    </w:p>
    <w:p w:rsidR="00966A8A" w:rsidRDefault="00966A8A" w:rsidP="00966A8A">
      <w:pPr>
        <w:pStyle w:val="Heading4"/>
        <w:rPr>
          <w:b w:val="0"/>
          <w:i w:val="0"/>
          <w:color w:val="000000"/>
        </w:rPr>
      </w:pPr>
      <w:r>
        <w:rPr>
          <w:b w:val="0"/>
          <w:i w:val="0"/>
          <w:color w:val="000000"/>
        </w:rPr>
        <w:t>2. Giải pháp về tổ chức bộ máy</w:t>
      </w:r>
    </w:p>
    <w:p w:rsidR="00966A8A" w:rsidRDefault="00966A8A" w:rsidP="00966A8A">
      <w:pPr>
        <w:pStyle w:val="Heading5"/>
        <w:rPr>
          <w:i w:val="0"/>
          <w:color w:val="000000"/>
        </w:rPr>
      </w:pPr>
      <w:r>
        <w:rPr>
          <w:i w:val="0"/>
          <w:color w:val="000000"/>
        </w:rPr>
        <w:t>a) Về các đội tuyển của tỉnh (bóng đá ngoài chuyên nghiệp)</w:t>
      </w:r>
    </w:p>
    <w:p w:rsidR="00966A8A" w:rsidRDefault="00966A8A" w:rsidP="00966A8A">
      <w:pPr>
        <w:pStyle w:val="Noidung"/>
        <w:spacing w:before="60" w:after="60"/>
        <w:rPr>
          <w:color w:val="000000"/>
        </w:rPr>
      </w:pPr>
      <w:r>
        <w:rPr>
          <w:color w:val="000000"/>
        </w:rPr>
        <w:t xml:space="preserve">- Đối với cán bộ quản lý, huấn luyện viên của đội tuyển các lứa tuổi từ U11 đến U19 của tỉnh và huấn luyện viên các lớp nghiệp dư </w:t>
      </w:r>
      <w:r>
        <w:rPr>
          <w:color w:val="000000"/>
          <w:lang w:val="pt-BR"/>
        </w:rPr>
        <w:t>do các huấn luyện viên thuộc Trung tâm Thể dục, thể thao tỉnh và các huấn luyện viên được ký kết hợp đồng huấn luyện,</w:t>
      </w:r>
      <w:r>
        <w:rPr>
          <w:color w:val="000000"/>
        </w:rPr>
        <w:t xml:space="preserve"> đảm bảo mỗi tuyến đủ 03 huấn luyện viên/1 tuyến đội tuyển tỉnh và 01 huấn luyện viên/1 tuyến lớp nghiệp dư.</w:t>
      </w:r>
    </w:p>
    <w:p w:rsidR="00966A8A" w:rsidRDefault="00966A8A" w:rsidP="00966A8A">
      <w:pPr>
        <w:pStyle w:val="Noidung"/>
        <w:spacing w:before="60" w:after="60"/>
        <w:rPr>
          <w:color w:val="000000"/>
        </w:rPr>
      </w:pPr>
      <w:r>
        <w:rPr>
          <w:color w:val="000000"/>
        </w:rPr>
        <w:t xml:space="preserve">- </w:t>
      </w:r>
      <w:r>
        <w:rPr>
          <w:color w:val="000000"/>
          <w:lang w:val="pt-BR"/>
        </w:rPr>
        <w:t xml:space="preserve">Trung tâm Thể dục, thể thao tỉnh chủ trì, </w:t>
      </w:r>
      <w:r>
        <w:rPr>
          <w:color w:val="000000"/>
        </w:rPr>
        <w:t>phối hợp với câu lạc bộ bóng đá chuyên nghiệp Hà Tĩnh phát hiện tài năng, tuyển chọn và đào tạo bóng đá các lứa tuổi: U11, U13, U15, U17, U19; phối hợp với</w:t>
      </w:r>
      <w:r>
        <w:rPr>
          <w:color w:val="000000"/>
          <w:szCs w:val="28"/>
          <w:lang w:val="pt-BR"/>
        </w:rPr>
        <w:t xml:space="preserve"> các trung tâm đào tạo uy tín và chất lượng khác ở trong nước để gửi các vận động viên đến học tập, rèn luyện, nâng cao trình độ.</w:t>
      </w:r>
      <w:r>
        <w:rPr>
          <w:color w:val="000000"/>
          <w:lang w:val="pt-BR"/>
        </w:rPr>
        <w:t xml:space="preserve"> Các vận động viên được tuyển sinh để hình thành các tuyến đào tạo là những em từ 10 đến 13 tuổi có năng khiếu bóng đá trên toàn tỉnh và mở rộng tuyển sinh ở các tỉnh khác.</w:t>
      </w:r>
    </w:p>
    <w:p w:rsidR="00966A8A" w:rsidRDefault="00966A8A" w:rsidP="00966A8A">
      <w:pPr>
        <w:pStyle w:val="Heading5"/>
        <w:rPr>
          <w:i w:val="0"/>
          <w:color w:val="000000"/>
        </w:rPr>
      </w:pPr>
      <w:r>
        <w:rPr>
          <w:i w:val="0"/>
          <w:color w:val="000000"/>
        </w:rPr>
        <w:t>b) Về đội bóng đá chuyên nghiệp</w:t>
      </w:r>
    </w:p>
    <w:p w:rsidR="00966A8A" w:rsidRDefault="00966A8A" w:rsidP="00966A8A">
      <w:pPr>
        <w:pStyle w:val="Heading4"/>
        <w:spacing w:before="60" w:after="60"/>
        <w:rPr>
          <w:b w:val="0"/>
          <w:i w:val="0"/>
          <w:color w:val="000000"/>
          <w:lang w:val="en-US"/>
        </w:rPr>
      </w:pPr>
      <w:r>
        <w:rPr>
          <w:b w:val="0"/>
          <w:i w:val="0"/>
          <w:color w:val="000000"/>
          <w:szCs w:val="28"/>
        </w:rPr>
        <w:t>Câu lạc bộ bóng đá chuyên nghiệp của tỉnh hoạt động theo</w:t>
      </w:r>
      <w:r>
        <w:rPr>
          <w:b w:val="0"/>
          <w:i w:val="0"/>
          <w:color w:val="000000"/>
        </w:rPr>
        <w:t xml:space="preserve"> Luật Doanh nghiệp, </w:t>
      </w:r>
      <w:r>
        <w:rPr>
          <w:b w:val="0"/>
          <w:i w:val="0"/>
          <w:color w:val="000000"/>
          <w:szCs w:val="28"/>
        </w:rPr>
        <w:t xml:space="preserve">Quy chế Bóng đá </w:t>
      </w:r>
      <w:r>
        <w:rPr>
          <w:b w:val="0"/>
          <w:i w:val="0"/>
          <w:color w:val="000000"/>
          <w:szCs w:val="28"/>
          <w:lang w:val="en-US"/>
        </w:rPr>
        <w:t>c</w:t>
      </w:r>
      <w:r>
        <w:rPr>
          <w:b w:val="0"/>
          <w:i w:val="0"/>
          <w:color w:val="000000"/>
          <w:szCs w:val="28"/>
        </w:rPr>
        <w:t xml:space="preserve">huyên nghiệp của Liên đoàn </w:t>
      </w:r>
      <w:r>
        <w:rPr>
          <w:b w:val="0"/>
          <w:i w:val="0"/>
          <w:color w:val="000000"/>
          <w:szCs w:val="28"/>
          <w:lang w:val="en-US"/>
        </w:rPr>
        <w:t>B</w:t>
      </w:r>
      <w:r>
        <w:rPr>
          <w:b w:val="0"/>
          <w:i w:val="0"/>
          <w:color w:val="000000"/>
          <w:szCs w:val="28"/>
        </w:rPr>
        <w:t>óng đá Việt Nam và Luật Thể dục, thể thao hiện hành,</w:t>
      </w:r>
      <w:r>
        <w:rPr>
          <w:b w:val="0"/>
          <w:i w:val="0"/>
          <w:color w:val="000000"/>
        </w:rPr>
        <w:t xml:space="preserve"> dưới sự giám sát, quản lý nhà nước của Sở Văn hóa, Thể thao và Du lịch, </w:t>
      </w:r>
      <w:r>
        <w:rPr>
          <w:b w:val="0"/>
          <w:i w:val="0"/>
          <w:color w:val="000000"/>
          <w:lang w:val="en-US"/>
        </w:rPr>
        <w:t>cụ thể:</w:t>
      </w:r>
    </w:p>
    <w:p w:rsidR="00966A8A" w:rsidRDefault="00966A8A" w:rsidP="00966A8A">
      <w:pPr>
        <w:pStyle w:val="Noidung"/>
        <w:spacing w:before="60" w:after="60"/>
        <w:ind w:firstLine="709"/>
        <w:rPr>
          <w:color w:val="000000"/>
          <w:szCs w:val="28"/>
          <w:lang w:val="pt-BR"/>
        </w:rPr>
      </w:pPr>
      <w:r>
        <w:rPr>
          <w:color w:val="000000"/>
          <w:szCs w:val="28"/>
        </w:rPr>
        <w:t>- Chủ động xây dựng đề án, kế hoạch tuyển chọn, ký kết hợp đồng, quản lý, chi các khoản về ăn, ở, sinh hoạt, chế độ tiền công, dụng cụ tập luyện cho huấn luyện viên, vận động viên của đội tuyến trên (đội 1) và đăng ký tham gia các giải theo Quy chế Bóng đá chuyên nghiệp Việt Nam.</w:t>
      </w:r>
    </w:p>
    <w:p w:rsidR="00966A8A" w:rsidRDefault="00966A8A" w:rsidP="00966A8A">
      <w:pPr>
        <w:pStyle w:val="Noidung"/>
        <w:spacing w:before="60" w:after="60"/>
        <w:ind w:firstLine="709"/>
        <w:rPr>
          <w:color w:val="000000"/>
          <w:szCs w:val="28"/>
        </w:rPr>
      </w:pPr>
      <w:r>
        <w:rPr>
          <w:color w:val="000000"/>
          <w:szCs w:val="28"/>
          <w:lang w:val="pt-BR"/>
        </w:rPr>
        <w:t>- Phối hợp với các Trung tâm Thể dục, thể thao các tỉnh, thành phố, các trung tâm đào tạo bóng đá uy tín và chất lượng khác ở trong nước để gửi các vận động viên đến học tập, rèn luyện, nâng cao trình độ; phối hợp với Liên đoàn bóng đá Việt Nam (VFF), Liên đoàn Bóng đá Đông Nam Á (AFF), Liên đoàn Bóng đá Châu Á (AFC)... để đào tạo các lớp huấn luyện viên chuyên sâu bóng đá, huấn luyện viên cao cấp...</w:t>
      </w:r>
    </w:p>
    <w:p w:rsidR="00966A8A" w:rsidRDefault="00966A8A" w:rsidP="00966A8A">
      <w:pPr>
        <w:pStyle w:val="Heading4"/>
        <w:rPr>
          <w:b w:val="0"/>
          <w:i w:val="0"/>
          <w:color w:val="000000"/>
        </w:rPr>
      </w:pPr>
      <w:r>
        <w:rPr>
          <w:b w:val="0"/>
          <w:i w:val="0"/>
          <w:color w:val="000000"/>
        </w:rPr>
        <w:t>3. Nhóm giải pháp về chuyên môn</w:t>
      </w:r>
    </w:p>
    <w:p w:rsidR="00966A8A" w:rsidRDefault="00966A8A" w:rsidP="00966A8A">
      <w:pPr>
        <w:pStyle w:val="Noidung"/>
        <w:spacing w:before="60" w:after="60"/>
        <w:rPr>
          <w:color w:val="000000"/>
        </w:rPr>
      </w:pPr>
      <w:r>
        <w:rPr>
          <w:color w:val="000000"/>
        </w:rPr>
        <w:t xml:space="preserve">Hàng năm, đội ngũ cán bộ, huấn luyện viên, cộng tác viên bóng đá sẽ được tham gia các lớp tập huấn do các chuyên gia trong và ngoài nước giảng dạy; chú trọng đến việc nâng cao năng lực chuyên môn cho các cộng tác viên, giáo viên giáo dục thể chất tại các trường học. </w:t>
      </w:r>
      <w:proofErr w:type="gramStart"/>
      <w:r>
        <w:rPr>
          <w:color w:val="000000"/>
        </w:rPr>
        <w:t>Tổ chức tập huấn các lớp trọng tài bóng đá phong trào, thường xuyên bồi dưỡng nâng cao trình độ chuyên môn, từ đó tuyển chọn, cử đi tham gia các lớp nâng cao ở Trung ương.</w:t>
      </w:r>
      <w:proofErr w:type="gramEnd"/>
    </w:p>
    <w:p w:rsidR="00966A8A" w:rsidRDefault="00966A8A" w:rsidP="00966A8A">
      <w:pPr>
        <w:pStyle w:val="Noidung"/>
        <w:spacing w:before="60" w:after="60"/>
        <w:rPr>
          <w:color w:val="000000"/>
          <w:lang w:val="pt-BR"/>
        </w:rPr>
      </w:pPr>
      <w:r>
        <w:rPr>
          <w:color w:val="000000"/>
        </w:rPr>
        <w:t>Công tác huấn luyện, đào tạo với h</w:t>
      </w:r>
      <w:r>
        <w:rPr>
          <w:color w:val="000000"/>
          <w:lang w:val="pt-BR"/>
        </w:rPr>
        <w:t xml:space="preserve">ình thức đào tạo tập trung với nội dung đào tạo chuyên sâu về kỹ thuật bóng đá </w:t>
      </w:r>
      <w:r>
        <w:rPr>
          <w:color w:val="000000"/>
        </w:rPr>
        <w:t xml:space="preserve">phải đảm bảo các chương trình, giáo án đề ra, có tính khoa học, </w:t>
      </w:r>
      <w:r>
        <w:rPr>
          <w:color w:val="000000"/>
          <w:lang w:val="pt-BR"/>
        </w:rPr>
        <w:t>phù hợp đặc điểm tâm, sinh lý vận động viên</w:t>
      </w:r>
      <w:r>
        <w:rPr>
          <w:color w:val="000000"/>
        </w:rPr>
        <w:t xml:space="preserve">, hiệu quả, phù hợp với con người và điều kiện tự nhiên của địa phương và </w:t>
      </w:r>
      <w:r>
        <w:rPr>
          <w:color w:val="000000"/>
          <w:lang w:val="pt-BR"/>
        </w:rPr>
        <w:t>mô hình đào tạo bóng đá chuyên nghiệp ở Việt Nam hiện nay.</w:t>
      </w:r>
    </w:p>
    <w:p w:rsidR="00966A8A" w:rsidRDefault="00966A8A" w:rsidP="00966A8A">
      <w:pPr>
        <w:pStyle w:val="Heading4"/>
        <w:rPr>
          <w:b w:val="0"/>
          <w:i w:val="0"/>
          <w:color w:val="000000"/>
        </w:rPr>
      </w:pPr>
      <w:r>
        <w:rPr>
          <w:b w:val="0"/>
          <w:i w:val="0"/>
          <w:color w:val="000000"/>
        </w:rPr>
        <w:t>4. Nhóm giải pháp về chế độ, chính sách</w:t>
      </w:r>
    </w:p>
    <w:p w:rsidR="00966A8A" w:rsidRDefault="00966A8A" w:rsidP="00966A8A">
      <w:pPr>
        <w:pStyle w:val="Noidung"/>
        <w:spacing w:before="60" w:after="60"/>
        <w:rPr>
          <w:color w:val="000000"/>
        </w:rPr>
      </w:pPr>
      <w:r>
        <w:rPr>
          <w:color w:val="000000"/>
        </w:rPr>
        <w:t xml:space="preserve">Huấn luyện viên, vận động viên được hưởng các chế độ chính sách </w:t>
      </w:r>
      <w:proofErr w:type="gramStart"/>
      <w:r>
        <w:rPr>
          <w:color w:val="000000"/>
        </w:rPr>
        <w:t>theo</w:t>
      </w:r>
      <w:proofErr w:type="gramEnd"/>
      <w:r>
        <w:rPr>
          <w:color w:val="000000"/>
        </w:rPr>
        <w:t xml:space="preserve"> quy định tại Điều 5 Nghị quyết này.</w:t>
      </w:r>
    </w:p>
    <w:p w:rsidR="00966A8A" w:rsidRDefault="00966A8A" w:rsidP="00966A8A">
      <w:pPr>
        <w:pStyle w:val="Noidung"/>
        <w:spacing w:before="60" w:after="60"/>
        <w:rPr>
          <w:color w:val="000000"/>
        </w:rPr>
      </w:pPr>
      <w:r>
        <w:rPr>
          <w:color w:val="000000"/>
        </w:rPr>
        <w:t>5. Giải pháp về đầu tư cơ sở vật chất</w:t>
      </w:r>
    </w:p>
    <w:p w:rsidR="00966A8A" w:rsidRDefault="00966A8A" w:rsidP="00966A8A">
      <w:pPr>
        <w:pStyle w:val="Heading3"/>
        <w:spacing w:before="60" w:after="60"/>
        <w:rPr>
          <w:b w:val="0"/>
          <w:color w:val="000000"/>
        </w:rPr>
      </w:pPr>
      <w:r>
        <w:rPr>
          <w:b w:val="0"/>
          <w:color w:val="000000"/>
        </w:rPr>
        <w:t>Cơ sở vật chất của bóng đá cấp tỉnh cần được cải thiện và đầu tư xây dựng đảm bảo đồng bộ, đủ các yếu tố phục vụ công tác tập luyện, thi đấu, lưu trú cho huấn luyện viên, vận động viên, đảm bảo phát triển bóng đá một cách chuyên nghiệp như nhà ở huấn luyện viên, vận động viên, sân tập, phòng tập thể lực, xe chở đội bóng.</w:t>
      </w:r>
    </w:p>
    <w:p w:rsidR="00966A8A" w:rsidRDefault="00966A8A" w:rsidP="00966A8A">
      <w:pPr>
        <w:pStyle w:val="Noidung"/>
        <w:spacing w:before="60" w:after="60"/>
        <w:rPr>
          <w:color w:val="000000"/>
        </w:rPr>
      </w:pPr>
      <w:r>
        <w:rPr>
          <w:color w:val="000000"/>
        </w:rPr>
        <w:t>Căn cứ vào quy mô, mức độ, nhu cầu thiết yếu và khả năng ngân sách, xem xét ưu tiên, bố trí từ các nguồn vốn đầu tư công và huy động lồng ghép các nguồn vốn khác để triển khai thực hiện, cụ thể:</w:t>
      </w:r>
    </w:p>
    <w:p w:rsidR="00966A8A" w:rsidRDefault="00966A8A" w:rsidP="00966A8A">
      <w:pPr>
        <w:pStyle w:val="Noidung"/>
        <w:spacing w:before="100" w:after="100"/>
        <w:ind w:firstLine="709"/>
        <w:rPr>
          <w:color w:val="000000"/>
        </w:rPr>
      </w:pPr>
      <w:r>
        <w:rPr>
          <w:color w:val="000000"/>
        </w:rPr>
        <w:t>a)</w:t>
      </w:r>
      <w:r>
        <w:rPr>
          <w:i/>
          <w:color w:val="000000"/>
        </w:rPr>
        <w:t xml:space="preserve"> </w:t>
      </w:r>
      <w:r>
        <w:rPr>
          <w:color w:val="000000"/>
        </w:rPr>
        <w:t>Giai đoạn 2019-2020</w:t>
      </w:r>
      <w:r>
        <w:rPr>
          <w:i/>
          <w:color w:val="000000"/>
        </w:rPr>
        <w:t>:</w:t>
      </w:r>
      <w:r>
        <w:rPr>
          <w:color w:val="000000"/>
        </w:rPr>
        <w:t xml:space="preserve"> Ưu tiên xây dựng sân tập bóng đá mới (sân 1) và cải tạo, sửa chữa phòng ở tại bể bơi tỉnh cho vận động viên bóng đá.</w:t>
      </w:r>
    </w:p>
    <w:p w:rsidR="00966A8A" w:rsidRDefault="00966A8A" w:rsidP="00966A8A">
      <w:pPr>
        <w:pStyle w:val="Noidung"/>
        <w:spacing w:before="100" w:after="100"/>
        <w:ind w:firstLine="709"/>
        <w:rPr>
          <w:color w:val="000000"/>
        </w:rPr>
      </w:pPr>
      <w:r>
        <w:rPr>
          <w:color w:val="000000"/>
        </w:rPr>
        <w:t>b) Giai đoạn từ năm 2021 trở đi: Xây dựng nhà ăn, ở, các phòng tập chức năng cho vận động viên bóng đá; bổ sung xây dựng mới sân tập bóng đá (sân 2 và sân 3) nằm trong Quy hoạch xây dựng đề án Khu liên hiệp thể thao tỉnh và đầu tư mua sắm phương tiện di chuyển phục vụ đội bóng.</w:t>
      </w:r>
    </w:p>
    <w:p w:rsidR="00966A8A" w:rsidRDefault="00966A8A" w:rsidP="00966A8A">
      <w:pPr>
        <w:pStyle w:val="Noidung"/>
        <w:spacing w:before="60" w:after="60"/>
        <w:rPr>
          <w:b/>
          <w:color w:val="000000"/>
        </w:rPr>
      </w:pPr>
      <w:proofErr w:type="gramStart"/>
      <w:r>
        <w:rPr>
          <w:b/>
          <w:color w:val="000000"/>
        </w:rPr>
        <w:t>Điều 5.</w:t>
      </w:r>
      <w:proofErr w:type="gramEnd"/>
      <w:r>
        <w:rPr>
          <w:b/>
          <w:color w:val="000000"/>
        </w:rPr>
        <w:t xml:space="preserve"> Chính sách phát triển bóng đá</w:t>
      </w:r>
    </w:p>
    <w:p w:rsidR="00966A8A" w:rsidRDefault="00966A8A" w:rsidP="00966A8A">
      <w:pPr>
        <w:pStyle w:val="Heading5"/>
        <w:rPr>
          <w:i w:val="0"/>
          <w:color w:val="000000"/>
        </w:rPr>
      </w:pPr>
      <w:r>
        <w:rPr>
          <w:i w:val="0"/>
          <w:color w:val="000000"/>
        </w:rPr>
        <w:t xml:space="preserve">1. Về chế độ tiền lương, chế độ dinh dưỡng, chế độ bảo hiểm, chế độ trợ cấp của huấn luyện viên, vận động viên bóng đá cấp tỉnh </w:t>
      </w:r>
    </w:p>
    <w:p w:rsidR="00966A8A" w:rsidRDefault="00966A8A" w:rsidP="00966A8A">
      <w:pPr>
        <w:pStyle w:val="Noidung"/>
        <w:spacing w:before="60" w:after="60"/>
        <w:rPr>
          <w:color w:val="000000"/>
        </w:rPr>
      </w:pPr>
      <w:r>
        <w:rPr>
          <w:color w:val="000000"/>
        </w:rPr>
        <w:t>a) Chế độ tiền lương, chế độ dinh dưỡng, chế độ trợ cấp của huấn luyện viên, vận động viên áp dụng theo quy định tại Nghị quyết số …NQ/2019/HĐND ngày   /    / năm 2019 của HĐND tỉnh quy định một số chế độ, chính sách đối với huấn luyện viên, vận động viên thể thao thành tích cao của tỉnh Hà Tĩnh.</w:t>
      </w:r>
    </w:p>
    <w:p w:rsidR="00966A8A" w:rsidRDefault="00966A8A" w:rsidP="00966A8A">
      <w:pPr>
        <w:pStyle w:val="Noidung"/>
        <w:spacing w:before="60" w:after="60"/>
        <w:rPr>
          <w:color w:val="000000"/>
        </w:rPr>
      </w:pPr>
      <w:r>
        <w:rPr>
          <w:color w:val="000000"/>
        </w:rPr>
        <w:t xml:space="preserve">b) Chế độ bảo hiểm xã hội, bảo hiểm y tế, bảo hiểm thất nghiệp, bảo hiểm </w:t>
      </w:r>
      <w:proofErr w:type="gramStart"/>
      <w:r>
        <w:rPr>
          <w:color w:val="000000"/>
        </w:rPr>
        <w:t>tai</w:t>
      </w:r>
      <w:proofErr w:type="gramEnd"/>
      <w:r>
        <w:rPr>
          <w:color w:val="000000"/>
        </w:rPr>
        <w:t xml:space="preserve"> nạn lao động, bệnh nghề nghiệp của huấn luyện viên, vận động viên thực hiện theo quy định tại Nghị định 152/2018/NĐ-CP ngày 07/11/2018 của Chính phủ.</w:t>
      </w:r>
    </w:p>
    <w:p w:rsidR="00966A8A" w:rsidRDefault="00966A8A" w:rsidP="00966A8A">
      <w:pPr>
        <w:pStyle w:val="Noidung"/>
        <w:spacing w:before="60" w:after="60"/>
        <w:rPr>
          <w:color w:val="000000"/>
        </w:rPr>
      </w:pPr>
      <w:r>
        <w:rPr>
          <w:color w:val="000000"/>
        </w:rPr>
        <w:t xml:space="preserve">c) Thời gian áp dụng được thực hiện </w:t>
      </w:r>
      <w:proofErr w:type="gramStart"/>
      <w:r>
        <w:rPr>
          <w:color w:val="000000"/>
        </w:rPr>
        <w:t>theo</w:t>
      </w:r>
      <w:proofErr w:type="gramEnd"/>
      <w:r>
        <w:rPr>
          <w:color w:val="000000"/>
        </w:rPr>
        <w:t xml:space="preserve"> quyết định triệu tập cơ quan có thẩm quyền.</w:t>
      </w:r>
    </w:p>
    <w:p w:rsidR="00966A8A" w:rsidRDefault="00966A8A" w:rsidP="00966A8A">
      <w:pPr>
        <w:pStyle w:val="Heading5"/>
        <w:rPr>
          <w:i w:val="0"/>
          <w:color w:val="000000"/>
        </w:rPr>
      </w:pPr>
      <w:r>
        <w:rPr>
          <w:i w:val="0"/>
          <w:color w:val="000000"/>
        </w:rPr>
        <w:t xml:space="preserve">2. Chế độ tiền ngủ, tiền tàu </w:t>
      </w:r>
      <w:proofErr w:type="gramStart"/>
      <w:r>
        <w:rPr>
          <w:i w:val="0"/>
          <w:color w:val="000000"/>
        </w:rPr>
        <w:t>xe</w:t>
      </w:r>
      <w:proofErr w:type="gramEnd"/>
      <w:r>
        <w:rPr>
          <w:i w:val="0"/>
          <w:color w:val="000000"/>
        </w:rPr>
        <w:t>, chi phí thi đấu và trang thiết bị tập luyện cho huấn luyện viên, vận động viên lứa tuổi U11 đến U19</w:t>
      </w:r>
    </w:p>
    <w:p w:rsidR="00966A8A" w:rsidRDefault="00966A8A" w:rsidP="00966A8A">
      <w:pPr>
        <w:pStyle w:val="Noidung"/>
        <w:spacing w:before="60" w:after="60"/>
        <w:rPr>
          <w:color w:val="000000"/>
        </w:rPr>
      </w:pPr>
      <w:r>
        <w:rPr>
          <w:color w:val="000000"/>
        </w:rPr>
        <w:t>a) Chế độ tiền ngủ khi đi thi đấu: 200.000đ/người/ngày;</w:t>
      </w:r>
    </w:p>
    <w:p w:rsidR="00966A8A" w:rsidRDefault="00966A8A" w:rsidP="00966A8A">
      <w:pPr>
        <w:pStyle w:val="Noidung"/>
        <w:spacing w:before="60" w:after="60"/>
        <w:rPr>
          <w:color w:val="000000"/>
        </w:rPr>
      </w:pPr>
      <w:r>
        <w:rPr>
          <w:color w:val="000000"/>
        </w:rPr>
        <w:t xml:space="preserve">b) Chế độ tiền tàu </w:t>
      </w:r>
      <w:proofErr w:type="gramStart"/>
      <w:r>
        <w:rPr>
          <w:color w:val="000000"/>
        </w:rPr>
        <w:t>xe</w:t>
      </w:r>
      <w:proofErr w:type="gramEnd"/>
      <w:r>
        <w:rPr>
          <w:color w:val="000000"/>
        </w:rPr>
        <w:t xml:space="preserve">, chi phí thi đấu và trang thiết bị tập luyện: </w:t>
      </w:r>
    </w:p>
    <w:p w:rsidR="00966A8A" w:rsidRDefault="00966A8A" w:rsidP="00966A8A">
      <w:pPr>
        <w:pStyle w:val="Noidung"/>
        <w:spacing w:before="60" w:after="60"/>
        <w:rPr>
          <w:color w:val="000000"/>
        </w:rPr>
      </w:pPr>
      <w:r>
        <w:rPr>
          <w:color w:val="000000"/>
        </w:rPr>
        <w:t>+ Đối với vận động viên: 15.000.000đ/vận động viên/năm;</w:t>
      </w:r>
    </w:p>
    <w:p w:rsidR="00966A8A" w:rsidRDefault="00966A8A" w:rsidP="00966A8A">
      <w:pPr>
        <w:pStyle w:val="Noidung"/>
        <w:spacing w:before="60" w:after="60"/>
        <w:rPr>
          <w:color w:val="000000"/>
        </w:rPr>
      </w:pPr>
      <w:r>
        <w:rPr>
          <w:color w:val="000000"/>
        </w:rPr>
        <w:t>+ Đối với huấn luyện viên: 10.000.000đ/huấn luyện viên/năm.</w:t>
      </w:r>
    </w:p>
    <w:p w:rsidR="00966A8A" w:rsidRDefault="00966A8A" w:rsidP="00966A8A">
      <w:pPr>
        <w:pStyle w:val="Noidung"/>
        <w:spacing w:before="60" w:after="60"/>
        <w:rPr>
          <w:color w:val="000000"/>
        </w:rPr>
      </w:pPr>
      <w:r>
        <w:rPr>
          <w:color w:val="000000"/>
        </w:rPr>
        <w:t>3. Chế độ cho các tuyến lớp nghiệp dư ở cơ sở</w:t>
      </w:r>
    </w:p>
    <w:p w:rsidR="00966A8A" w:rsidRDefault="00966A8A" w:rsidP="00966A8A">
      <w:pPr>
        <w:pStyle w:val="Noidung"/>
        <w:spacing w:before="60" w:after="60"/>
        <w:rPr>
          <w:color w:val="000000"/>
        </w:rPr>
      </w:pPr>
      <w:r>
        <w:rPr>
          <w:color w:val="000000"/>
        </w:rPr>
        <w:t xml:space="preserve">Hỗ trợ tiền công đối với huấn luyện viên, vận động viên, chi phí cải tạo sân bãi, mua sắm trang thiết bị, dụng cụ tập luyện cho các tuyến lớp nghiệp dư bóng đá liên huyện, thành phố, thị xã (06 lớp), mức hỗ trợ: 80.000.000đ/lớp/năm và huy động thêm từ nguồn xã hội hóa. </w:t>
      </w:r>
    </w:p>
    <w:p w:rsidR="00966A8A" w:rsidRDefault="00966A8A" w:rsidP="00966A8A">
      <w:pPr>
        <w:pStyle w:val="Heading5"/>
        <w:rPr>
          <w:i w:val="0"/>
          <w:color w:val="000000"/>
        </w:rPr>
      </w:pPr>
      <w:r>
        <w:rPr>
          <w:i w:val="0"/>
          <w:color w:val="000000"/>
        </w:rPr>
        <w:t>4. Chế độ khen thưởng</w:t>
      </w:r>
    </w:p>
    <w:p w:rsidR="00966A8A" w:rsidRDefault="00966A8A" w:rsidP="00966A8A">
      <w:pPr>
        <w:pStyle w:val="Noidung"/>
        <w:spacing w:before="60" w:after="60"/>
        <w:rPr>
          <w:color w:val="000000"/>
        </w:rPr>
      </w:pPr>
      <w:r>
        <w:rPr>
          <w:color w:val="000000"/>
        </w:rPr>
        <w:t>Theo quy định tại Nghị quyết số …NQ/2019/HĐND ngày   /    / năm 2019 của HĐND tỉnh quy định một số chế độ, chính sách đối với huấn luyện viên, vận động viên thể thao thành tích cao của tỉnh Hà Tĩnh.</w:t>
      </w:r>
    </w:p>
    <w:p w:rsidR="00966A8A" w:rsidRDefault="00966A8A" w:rsidP="00966A8A">
      <w:pPr>
        <w:pStyle w:val="Heading5"/>
        <w:rPr>
          <w:i w:val="0"/>
          <w:color w:val="000000"/>
        </w:rPr>
      </w:pPr>
      <w:r>
        <w:rPr>
          <w:i w:val="0"/>
          <w:color w:val="000000"/>
        </w:rPr>
        <w:t>5. Các chế độ chính sách khác</w:t>
      </w:r>
    </w:p>
    <w:p w:rsidR="00966A8A" w:rsidRDefault="00966A8A" w:rsidP="00966A8A">
      <w:pPr>
        <w:pStyle w:val="Noidung"/>
        <w:spacing w:before="60" w:after="60"/>
        <w:rPr>
          <w:color w:val="000000"/>
        </w:rPr>
      </w:pPr>
      <w:r>
        <w:rPr>
          <w:color w:val="000000"/>
        </w:rPr>
        <w:t xml:space="preserve">a) Chính sách </w:t>
      </w:r>
      <w:proofErr w:type="gramStart"/>
      <w:r>
        <w:rPr>
          <w:color w:val="000000"/>
        </w:rPr>
        <w:t>thu</w:t>
      </w:r>
      <w:proofErr w:type="gramEnd"/>
      <w:r>
        <w:rPr>
          <w:color w:val="000000"/>
        </w:rPr>
        <w:t xml:space="preserve"> hút huấn luyện viên được thực hiện ký kết theo hợp đồng trọn gói:</w:t>
      </w:r>
    </w:p>
    <w:p w:rsidR="00966A8A" w:rsidRDefault="00966A8A" w:rsidP="00966A8A">
      <w:pPr>
        <w:pStyle w:val="Noidung"/>
        <w:spacing w:before="60" w:after="60"/>
        <w:rPr>
          <w:color w:val="000000"/>
          <w:lang w:val="de-DE"/>
        </w:rPr>
      </w:pPr>
      <w:r>
        <w:rPr>
          <w:color w:val="000000"/>
          <w:lang w:val="de-DE"/>
        </w:rPr>
        <w:t>Huấn luyện viên được hợp đồng làm huấn luyện viên trưởng đội tuyển (tuyến U) được hưởng: 13.000.000 đồng/người/tháng.</w:t>
      </w:r>
    </w:p>
    <w:p w:rsidR="00966A8A" w:rsidRDefault="00966A8A" w:rsidP="00966A8A">
      <w:pPr>
        <w:pStyle w:val="Noidung"/>
        <w:spacing w:before="60" w:after="60"/>
        <w:rPr>
          <w:color w:val="000000"/>
          <w:lang w:val="de-DE"/>
        </w:rPr>
      </w:pPr>
      <w:r>
        <w:rPr>
          <w:color w:val="000000"/>
          <w:lang w:val="de-DE"/>
        </w:rPr>
        <w:t>Huấn luyện viên được hợp đồng làm trợ lý huấn luyện viên trưởng đội tuyển (tuyến U) được hưởng: 10.000.000 đồng/người/tháng.</w:t>
      </w:r>
    </w:p>
    <w:p w:rsidR="00966A8A" w:rsidRDefault="00966A8A" w:rsidP="00966A8A">
      <w:pPr>
        <w:pStyle w:val="Noidung"/>
        <w:spacing w:before="60" w:after="60"/>
        <w:rPr>
          <w:color w:val="000000"/>
          <w:lang w:val="de-DE"/>
        </w:rPr>
      </w:pPr>
      <w:r>
        <w:rPr>
          <w:color w:val="000000"/>
          <w:lang w:val="de-DE"/>
        </w:rPr>
        <w:t>b) Hàng năm, ngoài kinh phí kêu gọi xã hội hóa, tỉnh xem xét hỗ trợ ngân sách cho hoạt động và khen thưởng của câu lạc bộ bóng đá chuyên nghiệp Hà Tĩnh.</w:t>
      </w:r>
    </w:p>
    <w:p w:rsidR="00966A8A" w:rsidRDefault="00966A8A" w:rsidP="00966A8A">
      <w:pPr>
        <w:pStyle w:val="Noidung"/>
        <w:spacing w:before="60" w:after="60"/>
        <w:rPr>
          <w:color w:val="000000"/>
          <w:lang w:val="de-DE"/>
        </w:rPr>
      </w:pPr>
      <w:r>
        <w:rPr>
          <w:color w:val="000000"/>
          <w:lang w:val="de-DE"/>
        </w:rPr>
        <w:t xml:space="preserve">c) Hàng năm ngân sách tỉnh sẽ hỗ trợ kinh phí tối thiểu 100.000.000đ/giải vào năm 2020 và 150.000.000đ/giải từ năm 2021 trở đi, để tổ chức các giải: </w:t>
      </w:r>
      <w:r>
        <w:rPr>
          <w:color w:val="000000"/>
        </w:rPr>
        <w:t xml:space="preserve">Giải Bóng đá Thiếu niên Nhi đồng; Giải Bóng đá Vô địch toàn tỉnh; </w:t>
      </w:r>
      <w:r>
        <w:rPr>
          <w:bCs/>
          <w:color w:val="000000"/>
        </w:rPr>
        <w:t xml:space="preserve">Giải bóng đá Festival. </w:t>
      </w:r>
      <w:proofErr w:type="gramStart"/>
      <w:r>
        <w:rPr>
          <w:bCs/>
          <w:color w:val="000000"/>
        </w:rPr>
        <w:t>Phần còn thiếu huy động nguồn xã hội hóa.</w:t>
      </w:r>
      <w:proofErr w:type="gramEnd"/>
    </w:p>
    <w:p w:rsidR="00966A8A" w:rsidRDefault="00966A8A" w:rsidP="00966A8A">
      <w:pPr>
        <w:pStyle w:val="Heading2"/>
        <w:rPr>
          <w:rFonts w:eastAsia="Calibri"/>
          <w:color w:val="000000"/>
        </w:rPr>
      </w:pPr>
      <w:r>
        <w:rPr>
          <w:rFonts w:eastAsia="Calibri"/>
          <w:color w:val="000000"/>
        </w:rPr>
        <w:t>Chương III</w:t>
      </w:r>
      <w:r>
        <w:rPr>
          <w:rFonts w:eastAsia="Calibri"/>
          <w:color w:val="000000"/>
        </w:rPr>
        <w:br/>
        <w:t>TỔ CHỨC THỰC HIỆN</w:t>
      </w:r>
    </w:p>
    <w:p w:rsidR="00966A8A" w:rsidRDefault="00966A8A" w:rsidP="00966A8A">
      <w:pPr>
        <w:pStyle w:val="Heading3"/>
        <w:rPr>
          <w:color w:val="000000"/>
        </w:rPr>
      </w:pPr>
      <w:proofErr w:type="gramStart"/>
      <w:r>
        <w:rPr>
          <w:color w:val="000000"/>
        </w:rPr>
        <w:t>Điều 6.</w:t>
      </w:r>
      <w:proofErr w:type="gramEnd"/>
      <w:r>
        <w:rPr>
          <w:color w:val="000000"/>
        </w:rPr>
        <w:t xml:space="preserve"> Nguồn kinh phí thực hiện</w:t>
      </w:r>
    </w:p>
    <w:p w:rsidR="00966A8A" w:rsidRDefault="00966A8A" w:rsidP="00966A8A">
      <w:pPr>
        <w:pStyle w:val="Noidung"/>
        <w:spacing w:before="60" w:after="60"/>
        <w:rPr>
          <w:color w:val="000000"/>
        </w:rPr>
      </w:pPr>
      <w:proofErr w:type="gramStart"/>
      <w:r>
        <w:rPr>
          <w:color w:val="000000"/>
        </w:rPr>
        <w:t>Nguồn kinh phí thực hiện các chế độ, chính sách quy định tại Nghị quyết này được bố trí từ nguồn ngân sách tỉnh hàng năm và các nguồn huy động hợp pháp khác.</w:t>
      </w:r>
      <w:proofErr w:type="gramEnd"/>
    </w:p>
    <w:p w:rsidR="00966A8A" w:rsidRDefault="00966A8A" w:rsidP="00966A8A">
      <w:pPr>
        <w:pStyle w:val="Heading3"/>
        <w:rPr>
          <w:color w:val="000000"/>
        </w:rPr>
      </w:pPr>
      <w:proofErr w:type="gramStart"/>
      <w:r>
        <w:rPr>
          <w:color w:val="000000"/>
        </w:rPr>
        <w:t>Điều 7.</w:t>
      </w:r>
      <w:proofErr w:type="gramEnd"/>
      <w:r>
        <w:rPr>
          <w:color w:val="000000"/>
        </w:rPr>
        <w:t xml:space="preserve"> Tổ chức thực hiện</w:t>
      </w:r>
    </w:p>
    <w:p w:rsidR="00966A8A" w:rsidRDefault="00966A8A" w:rsidP="00966A8A">
      <w:pPr>
        <w:pStyle w:val="Noidung"/>
        <w:spacing w:before="60" w:after="60"/>
        <w:rPr>
          <w:color w:val="000000"/>
        </w:rPr>
      </w:pPr>
      <w:r>
        <w:rPr>
          <w:color w:val="000000"/>
        </w:rPr>
        <w:t>1. Giao Ủy ban nhân dân tỉnh tổ chức thực hiện Nghị quyết này.</w:t>
      </w:r>
    </w:p>
    <w:p w:rsidR="00966A8A" w:rsidRDefault="00966A8A" w:rsidP="00966A8A">
      <w:pPr>
        <w:pStyle w:val="Noidung"/>
        <w:spacing w:before="60" w:after="60"/>
        <w:rPr>
          <w:color w:val="000000"/>
        </w:rPr>
      </w:pPr>
      <w:r>
        <w:rPr>
          <w:color w:val="000000"/>
        </w:rPr>
        <w:t>2. Thường trực Hội đồng nhân dân, các Ban của Hội đồng nhân dân, Tổ đại biểu Hội đồng nhân dân và các đại biểu Hội đồng nhân dân tỉnh giám sát việc thực hiện Nghị quyết này.</w:t>
      </w:r>
    </w:p>
    <w:p w:rsidR="00966A8A" w:rsidRDefault="00966A8A" w:rsidP="00966A8A">
      <w:pPr>
        <w:pStyle w:val="Noidung"/>
        <w:spacing w:before="60" w:after="60"/>
        <w:rPr>
          <w:color w:val="000000"/>
        </w:rPr>
      </w:pPr>
      <w:r>
        <w:rPr>
          <w:color w:val="000000"/>
        </w:rPr>
        <w:t>3. Nghị quyết này được Hội đồng nhân dân tỉnh khóa XVII kỳ họp thứ 10 thông qua ngày   tháng 7 năm 2019 và có hiệu lực kể từ ngày     tháng 7  năm 2019./.</w:t>
      </w:r>
    </w:p>
    <w:p w:rsidR="00966A8A" w:rsidRDefault="00966A8A" w:rsidP="00966A8A">
      <w:pPr>
        <w:ind w:firstLine="720"/>
        <w:rPr>
          <w:color w:val="000000"/>
          <w:sz w:val="12"/>
        </w:rPr>
      </w:pPr>
    </w:p>
    <w:tbl>
      <w:tblPr>
        <w:tblW w:w="0" w:type="auto"/>
        <w:tblInd w:w="100" w:type="dxa"/>
        <w:tblBorders>
          <w:insideH w:val="nil"/>
          <w:insideV w:val="nil"/>
        </w:tblBorders>
        <w:tblCellMar>
          <w:left w:w="0" w:type="dxa"/>
          <w:right w:w="0" w:type="dxa"/>
        </w:tblCellMar>
        <w:tblLook w:val="04A0" w:firstRow="1" w:lastRow="0" w:firstColumn="1" w:lastColumn="0" w:noHBand="0" w:noVBand="1"/>
      </w:tblPr>
      <w:tblGrid>
        <w:gridCol w:w="5451"/>
        <w:gridCol w:w="3737"/>
      </w:tblGrid>
      <w:tr w:rsidR="00966A8A" w:rsidTr="00966A8A">
        <w:tc>
          <w:tcPr>
            <w:tcW w:w="5451" w:type="dxa"/>
            <w:tcMar>
              <w:top w:w="0" w:type="dxa"/>
              <w:left w:w="108" w:type="dxa"/>
              <w:bottom w:w="0" w:type="dxa"/>
              <w:right w:w="108" w:type="dxa"/>
            </w:tcMar>
            <w:hideMark/>
          </w:tcPr>
          <w:p w:rsidR="00966A8A" w:rsidRDefault="00966A8A">
            <w:pPr>
              <w:spacing w:line="276" w:lineRule="auto"/>
              <w:rPr>
                <w:rFonts w:eastAsia="Times New Roman"/>
                <w:sz w:val="22"/>
                <w:lang w:val="en-US"/>
              </w:rPr>
            </w:pPr>
            <w:r>
              <w:rPr>
                <w:rFonts w:eastAsia="Times New Roman"/>
                <w:b/>
                <w:bCs/>
                <w:i/>
                <w:iCs/>
                <w:sz w:val="22"/>
              </w:rPr>
              <w:t>Nơi nhận:</w:t>
            </w:r>
            <w:r>
              <w:rPr>
                <w:rFonts w:eastAsia="Times New Roman"/>
                <w:b/>
                <w:bCs/>
                <w:i/>
                <w:iCs/>
                <w:sz w:val="22"/>
              </w:rPr>
              <w:br/>
            </w:r>
            <w:r>
              <w:rPr>
                <w:rFonts w:eastAsia="Times New Roman"/>
                <w:sz w:val="22"/>
                <w:lang w:val="en-US"/>
              </w:rPr>
              <w:t>- Ủy ban Thường vụ Quốc hội</w:t>
            </w:r>
            <w:r>
              <w:rPr>
                <w:rFonts w:eastAsia="Times New Roman"/>
                <w:sz w:val="22"/>
              </w:rPr>
              <w:t>;</w:t>
            </w:r>
          </w:p>
          <w:p w:rsidR="00966A8A" w:rsidRDefault="00966A8A">
            <w:pPr>
              <w:spacing w:line="276" w:lineRule="auto"/>
              <w:rPr>
                <w:rFonts w:eastAsia="Times New Roman"/>
                <w:sz w:val="22"/>
                <w:lang w:val="en-US"/>
              </w:rPr>
            </w:pPr>
            <w:r>
              <w:rPr>
                <w:rFonts w:eastAsia="Times New Roman"/>
                <w:sz w:val="22"/>
                <w:lang w:val="en-US"/>
              </w:rPr>
              <w:t>- Chính phủ;</w:t>
            </w:r>
            <w:r>
              <w:rPr>
                <w:rFonts w:eastAsia="Times New Roman"/>
                <w:sz w:val="22"/>
              </w:rPr>
              <w:br/>
            </w:r>
            <w:r>
              <w:rPr>
                <w:rFonts w:eastAsia="Times New Roman"/>
                <w:sz w:val="22"/>
                <w:lang w:val="en-US"/>
              </w:rPr>
              <w:t>- Ban Công tác đại biểu UBTVQH</w:t>
            </w:r>
            <w:r>
              <w:rPr>
                <w:rFonts w:eastAsia="Times New Roman"/>
                <w:sz w:val="22"/>
              </w:rPr>
              <w:t>;</w:t>
            </w:r>
            <w:r>
              <w:rPr>
                <w:rFonts w:eastAsia="Times New Roman"/>
                <w:sz w:val="22"/>
              </w:rPr>
              <w:br/>
              <w:t>- Văn phòng Quốc hội;</w:t>
            </w:r>
            <w:r>
              <w:rPr>
                <w:rFonts w:eastAsia="Times New Roman"/>
                <w:sz w:val="22"/>
              </w:rPr>
              <w:br/>
              <w:t>- Văn phòng Chủ tịch n</w:t>
            </w:r>
            <w:r>
              <w:rPr>
                <w:rFonts w:eastAsia="Times New Roman"/>
                <w:sz w:val="22"/>
                <w:lang w:val="en-US"/>
              </w:rPr>
              <w:t>ướ</w:t>
            </w:r>
            <w:r>
              <w:rPr>
                <w:rFonts w:eastAsia="Times New Roman"/>
                <w:sz w:val="22"/>
              </w:rPr>
              <w:t>c;</w:t>
            </w:r>
          </w:p>
          <w:p w:rsidR="00966A8A" w:rsidRDefault="00966A8A">
            <w:pPr>
              <w:spacing w:line="276" w:lineRule="auto"/>
              <w:rPr>
                <w:rFonts w:eastAsia="Times New Roman"/>
                <w:sz w:val="22"/>
                <w:lang w:val="en-US"/>
              </w:rPr>
            </w:pPr>
            <w:r>
              <w:rPr>
                <w:rFonts w:eastAsia="Times New Roman"/>
                <w:sz w:val="22"/>
                <w:lang w:val="en-US"/>
              </w:rPr>
              <w:t>- Văn phòng Chính phủ, Website Chính phủ;</w:t>
            </w:r>
          </w:p>
          <w:p w:rsidR="00966A8A" w:rsidRDefault="00966A8A">
            <w:pPr>
              <w:spacing w:line="276" w:lineRule="auto"/>
              <w:rPr>
                <w:rFonts w:eastAsia="Times New Roman"/>
                <w:sz w:val="22"/>
                <w:lang w:val="en-US"/>
              </w:rPr>
            </w:pPr>
            <w:r>
              <w:rPr>
                <w:rFonts w:eastAsia="Times New Roman"/>
                <w:sz w:val="22"/>
                <w:lang w:val="en-US"/>
              </w:rPr>
              <w:t>- Các Bộ: Tài chính, VHTT&amp;DL</w:t>
            </w:r>
            <w:r>
              <w:rPr>
                <w:rFonts w:eastAsia="Times New Roman"/>
                <w:sz w:val="22"/>
              </w:rPr>
              <w:t>;</w:t>
            </w:r>
            <w:r>
              <w:rPr>
                <w:rFonts w:eastAsia="Times New Roman"/>
                <w:sz w:val="22"/>
              </w:rPr>
              <w:br/>
            </w:r>
            <w:r>
              <w:rPr>
                <w:rFonts w:eastAsia="Times New Roman"/>
                <w:sz w:val="22"/>
                <w:lang w:val="en-US"/>
              </w:rPr>
              <w:t>- Kiểm toán Nhà nước Khu vực II;</w:t>
            </w:r>
          </w:p>
          <w:p w:rsidR="00966A8A" w:rsidRDefault="00966A8A">
            <w:pPr>
              <w:spacing w:line="276" w:lineRule="auto"/>
              <w:rPr>
                <w:rFonts w:eastAsia="Times New Roman"/>
                <w:sz w:val="22"/>
                <w:lang w:val="en-US"/>
              </w:rPr>
            </w:pPr>
            <w:r>
              <w:rPr>
                <w:rFonts w:eastAsia="Times New Roman"/>
                <w:sz w:val="22"/>
                <w:lang w:val="en-US"/>
              </w:rPr>
              <w:t>- Cục kiểm tra văn bản - Bộ Tư pháp</w:t>
            </w:r>
            <w:r>
              <w:rPr>
                <w:rFonts w:eastAsia="Times New Roman"/>
                <w:sz w:val="22"/>
              </w:rPr>
              <w:t>;</w:t>
            </w:r>
            <w:r>
              <w:rPr>
                <w:rFonts w:eastAsia="Times New Roman"/>
                <w:sz w:val="22"/>
              </w:rPr>
              <w:br/>
            </w:r>
            <w:r>
              <w:rPr>
                <w:rFonts w:eastAsia="Times New Roman"/>
                <w:sz w:val="22"/>
                <w:lang w:val="en-US"/>
              </w:rPr>
              <w:t>- TT Tỉnh ủy, HĐND, UBND, UBMTTQ tỉnh</w:t>
            </w:r>
            <w:r>
              <w:rPr>
                <w:rFonts w:eastAsia="Times New Roman"/>
                <w:sz w:val="22"/>
              </w:rPr>
              <w:t>;</w:t>
            </w:r>
            <w:r>
              <w:rPr>
                <w:rFonts w:eastAsia="Times New Roman"/>
                <w:sz w:val="22"/>
              </w:rPr>
              <w:br/>
            </w:r>
            <w:r>
              <w:rPr>
                <w:rFonts w:eastAsia="Times New Roman"/>
                <w:sz w:val="22"/>
                <w:lang w:val="en-US"/>
              </w:rPr>
              <w:t>- Đại biểu Quốc hội đoàn Hà Tĩnh</w:t>
            </w:r>
            <w:r>
              <w:rPr>
                <w:rFonts w:eastAsia="Times New Roman"/>
                <w:sz w:val="22"/>
              </w:rPr>
              <w:t>;</w:t>
            </w:r>
            <w:r>
              <w:rPr>
                <w:rFonts w:eastAsia="Times New Roman"/>
                <w:sz w:val="22"/>
              </w:rPr>
              <w:br/>
            </w:r>
            <w:r>
              <w:rPr>
                <w:rFonts w:eastAsia="Times New Roman"/>
                <w:sz w:val="22"/>
                <w:lang w:val="en-US"/>
              </w:rPr>
              <w:t>- Đại biểu HĐND tỉnh</w:t>
            </w:r>
            <w:r>
              <w:rPr>
                <w:rFonts w:eastAsia="Times New Roman"/>
                <w:sz w:val="22"/>
              </w:rPr>
              <w:t>;</w:t>
            </w:r>
            <w:r>
              <w:rPr>
                <w:rFonts w:eastAsia="Times New Roman"/>
                <w:sz w:val="22"/>
              </w:rPr>
              <w:br/>
            </w:r>
            <w:r>
              <w:rPr>
                <w:rFonts w:eastAsia="Times New Roman"/>
                <w:sz w:val="22"/>
                <w:lang w:val="en-US"/>
              </w:rPr>
              <w:t>- Các sở, ban ngành, đoàn thể cấp tỉnh</w:t>
            </w:r>
            <w:r>
              <w:rPr>
                <w:rFonts w:eastAsia="Times New Roman"/>
                <w:sz w:val="22"/>
              </w:rPr>
              <w:t>;</w:t>
            </w:r>
            <w:r>
              <w:rPr>
                <w:rFonts w:eastAsia="Times New Roman"/>
                <w:sz w:val="22"/>
              </w:rPr>
              <w:br/>
            </w:r>
            <w:r>
              <w:rPr>
                <w:rFonts w:eastAsia="Times New Roman"/>
                <w:sz w:val="22"/>
                <w:lang w:val="en-US"/>
              </w:rPr>
              <w:t>- Các VP: Tỉnh ủy; Đoàn ĐBQH, HĐND và UBND tỉnh</w:t>
            </w:r>
            <w:r>
              <w:rPr>
                <w:rFonts w:eastAsia="Times New Roman"/>
                <w:sz w:val="22"/>
              </w:rPr>
              <w:t>;</w:t>
            </w:r>
            <w:r>
              <w:rPr>
                <w:rFonts w:eastAsia="Times New Roman"/>
                <w:sz w:val="22"/>
              </w:rPr>
              <w:br/>
            </w:r>
            <w:r>
              <w:rPr>
                <w:rFonts w:eastAsia="Times New Roman"/>
                <w:sz w:val="22"/>
                <w:lang w:val="en-US"/>
              </w:rPr>
              <w:t>- TT HĐND, UBND các huyện, thị xã, thành phố</w:t>
            </w:r>
            <w:r>
              <w:rPr>
                <w:rFonts w:eastAsia="Times New Roman"/>
                <w:sz w:val="22"/>
              </w:rPr>
              <w:t>;</w:t>
            </w:r>
          </w:p>
          <w:p w:rsidR="00966A8A" w:rsidRDefault="00966A8A">
            <w:pPr>
              <w:spacing w:line="276" w:lineRule="auto"/>
              <w:rPr>
                <w:rFonts w:eastAsia="Times New Roman"/>
                <w:sz w:val="22"/>
                <w:lang w:val="en-US"/>
              </w:rPr>
            </w:pPr>
            <w:r>
              <w:rPr>
                <w:rFonts w:eastAsia="Times New Roman"/>
                <w:sz w:val="22"/>
                <w:lang w:val="en-US"/>
              </w:rPr>
              <w:t xml:space="preserve"> - Trung tâm TT-CB-TH</w:t>
            </w:r>
            <w:r>
              <w:rPr>
                <w:rFonts w:eastAsia="Times New Roman"/>
                <w:sz w:val="22"/>
              </w:rPr>
              <w:t>;</w:t>
            </w:r>
            <w:r>
              <w:rPr>
                <w:rFonts w:eastAsia="Times New Roman"/>
                <w:sz w:val="22"/>
              </w:rPr>
              <w:br/>
            </w:r>
            <w:r>
              <w:rPr>
                <w:rFonts w:eastAsia="Times New Roman"/>
                <w:sz w:val="22"/>
                <w:lang w:val="en-US"/>
              </w:rPr>
              <w:t>- Trang thông tin điện tử tỉnh;</w:t>
            </w:r>
          </w:p>
          <w:p w:rsidR="00966A8A" w:rsidRDefault="00966A8A">
            <w:pPr>
              <w:spacing w:line="276" w:lineRule="auto"/>
              <w:rPr>
                <w:rFonts w:eastAsia="Times New Roman"/>
                <w:sz w:val="24"/>
                <w:szCs w:val="24"/>
                <w:lang w:val="en-US"/>
              </w:rPr>
            </w:pPr>
            <w:r>
              <w:rPr>
                <w:rFonts w:eastAsia="Times New Roman"/>
                <w:sz w:val="22"/>
                <w:lang w:val="en-US"/>
              </w:rPr>
              <w:t xml:space="preserve">- </w:t>
            </w:r>
            <w:r>
              <w:rPr>
                <w:rFonts w:eastAsia="Times New Roman"/>
                <w:sz w:val="22"/>
              </w:rPr>
              <w:t>Lưu</w:t>
            </w:r>
            <w:r>
              <w:rPr>
                <w:rFonts w:eastAsia="Times New Roman"/>
                <w:sz w:val="22"/>
                <w:lang w:val="en-US"/>
              </w:rPr>
              <w:t>.</w:t>
            </w:r>
          </w:p>
        </w:tc>
        <w:tc>
          <w:tcPr>
            <w:tcW w:w="3737" w:type="dxa"/>
            <w:tcMar>
              <w:top w:w="0" w:type="dxa"/>
              <w:left w:w="108" w:type="dxa"/>
              <w:bottom w:w="0" w:type="dxa"/>
              <w:right w:w="108" w:type="dxa"/>
            </w:tcMar>
            <w:hideMark/>
          </w:tcPr>
          <w:p w:rsidR="00966A8A" w:rsidRDefault="00966A8A">
            <w:pPr>
              <w:spacing w:before="120" w:line="276" w:lineRule="auto"/>
              <w:jc w:val="center"/>
              <w:rPr>
                <w:rFonts w:eastAsia="Times New Roman"/>
                <w:b/>
                <w:bCs/>
                <w:szCs w:val="28"/>
                <w:lang w:val="en-US"/>
              </w:rPr>
            </w:pPr>
            <w:r>
              <w:rPr>
                <w:rFonts w:eastAsia="Times New Roman"/>
                <w:b/>
                <w:bCs/>
                <w:szCs w:val="28"/>
              </w:rPr>
              <w:t>CH</w:t>
            </w:r>
            <w:r>
              <w:rPr>
                <w:rFonts w:eastAsia="Times New Roman"/>
                <w:b/>
                <w:bCs/>
                <w:szCs w:val="28"/>
                <w:lang w:val="en-US"/>
              </w:rPr>
              <w:t>Ủ TỊCH</w:t>
            </w:r>
            <w:r>
              <w:rPr>
                <w:rFonts w:eastAsia="Times New Roman"/>
                <w:b/>
                <w:bCs/>
                <w:szCs w:val="28"/>
                <w:lang w:val="en-US"/>
              </w:rPr>
              <w:br/>
            </w:r>
            <w:r>
              <w:rPr>
                <w:rFonts w:eastAsia="Times New Roman"/>
                <w:b/>
                <w:bCs/>
                <w:szCs w:val="28"/>
                <w:lang w:val="en-US"/>
              </w:rPr>
              <w:br/>
            </w:r>
            <w:r>
              <w:rPr>
                <w:rFonts w:eastAsia="Times New Roman"/>
                <w:b/>
                <w:bCs/>
                <w:szCs w:val="28"/>
                <w:lang w:val="en-US"/>
              </w:rPr>
              <w:br/>
            </w:r>
          </w:p>
          <w:p w:rsidR="00966A8A" w:rsidRDefault="00966A8A">
            <w:pPr>
              <w:spacing w:before="120" w:line="276" w:lineRule="auto"/>
              <w:jc w:val="center"/>
              <w:rPr>
                <w:rFonts w:eastAsia="Times New Roman"/>
                <w:szCs w:val="28"/>
                <w:lang w:val="en-US"/>
              </w:rPr>
            </w:pPr>
            <w:r>
              <w:rPr>
                <w:rFonts w:eastAsia="Times New Roman"/>
                <w:b/>
                <w:bCs/>
                <w:szCs w:val="28"/>
                <w:lang w:val="en-US"/>
              </w:rPr>
              <w:br/>
            </w:r>
            <w:r>
              <w:rPr>
                <w:rFonts w:eastAsia="Times New Roman"/>
                <w:b/>
                <w:bCs/>
                <w:szCs w:val="28"/>
                <w:lang w:val="en-US"/>
              </w:rPr>
              <w:br/>
            </w:r>
            <w:r>
              <w:rPr>
                <w:rFonts w:eastAsia="Times New Roman"/>
                <w:b/>
                <w:bCs/>
                <w:szCs w:val="28"/>
                <w:lang w:val="en-US"/>
              </w:rPr>
              <w:br/>
              <w:t xml:space="preserve">   Lê Đình Sơn</w:t>
            </w:r>
          </w:p>
        </w:tc>
      </w:tr>
    </w:tbl>
    <w:p w:rsidR="00966A8A" w:rsidRDefault="00966A8A" w:rsidP="00966A8A"/>
    <w:p w:rsidR="00966A8A" w:rsidRDefault="00966A8A">
      <w:pPr>
        <w:rPr>
          <w:lang w:val="en-US"/>
        </w:rPr>
      </w:pPr>
    </w:p>
    <w:p w:rsidR="00966A8A" w:rsidRDefault="00966A8A">
      <w:pPr>
        <w:rPr>
          <w:lang w:val="en-US"/>
        </w:rPr>
      </w:pPr>
    </w:p>
    <w:p w:rsidR="00966A8A" w:rsidRDefault="00966A8A">
      <w:pPr>
        <w:rPr>
          <w:lang w:val="en-US"/>
        </w:rPr>
      </w:pPr>
    </w:p>
    <w:p w:rsidR="001C2691" w:rsidRDefault="001C2691">
      <w:pPr>
        <w:rPr>
          <w:b/>
          <w:color w:val="000000"/>
          <w:sz w:val="27"/>
          <w:szCs w:val="27"/>
          <w:lang w:val="en-US"/>
        </w:rPr>
      </w:pPr>
    </w:p>
    <w:p w:rsidR="00966A8A" w:rsidRDefault="00966A8A">
      <w:bookmarkStart w:id="0" w:name="_GoBack"/>
      <w:bookmarkEnd w:id="0"/>
    </w:p>
    <w:sectPr w:rsidR="00966A8A" w:rsidSect="005D663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347"/>
    <w:rsid w:val="000051F1"/>
    <w:rsid w:val="000B1EC7"/>
    <w:rsid w:val="000C44B3"/>
    <w:rsid w:val="001C2691"/>
    <w:rsid w:val="003E4347"/>
    <w:rsid w:val="005D663C"/>
    <w:rsid w:val="00614FDF"/>
    <w:rsid w:val="0071272E"/>
    <w:rsid w:val="007713CD"/>
    <w:rsid w:val="00773001"/>
    <w:rsid w:val="0079415A"/>
    <w:rsid w:val="00966A8A"/>
    <w:rsid w:val="00A53F2A"/>
    <w:rsid w:val="00AC2C66"/>
    <w:rsid w:val="00B32171"/>
    <w:rsid w:val="00CD3FED"/>
    <w:rsid w:val="00E952CE"/>
    <w:rsid w:val="00FB14BD"/>
    <w:rsid w:val="00FF5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347"/>
    <w:pPr>
      <w:spacing w:after="0" w:line="240" w:lineRule="auto"/>
    </w:pPr>
    <w:rPr>
      <w:rFonts w:eastAsia="Calibri" w:cs="Times New Roman"/>
      <w:lang w:val="vi-VN"/>
    </w:rPr>
  </w:style>
  <w:style w:type="paragraph" w:styleId="Heading1">
    <w:name w:val="heading 1"/>
    <w:basedOn w:val="Noidung"/>
    <w:next w:val="Normal"/>
    <w:link w:val="Heading1Char"/>
    <w:uiPriority w:val="9"/>
    <w:qFormat/>
    <w:rsid w:val="003E4347"/>
    <w:pPr>
      <w:spacing w:before="720" w:after="360"/>
      <w:ind w:firstLine="0"/>
      <w:jc w:val="center"/>
      <w:outlineLvl w:val="0"/>
    </w:pPr>
    <w:rPr>
      <w:b/>
      <w:lang w:val="x-none" w:eastAsia="x-none"/>
    </w:rPr>
  </w:style>
  <w:style w:type="paragraph" w:styleId="Heading2">
    <w:name w:val="heading 2"/>
    <w:basedOn w:val="Normal"/>
    <w:next w:val="Normal"/>
    <w:link w:val="Heading2Char"/>
    <w:uiPriority w:val="9"/>
    <w:semiHidden/>
    <w:unhideWhenUsed/>
    <w:qFormat/>
    <w:rsid w:val="003E4347"/>
    <w:pPr>
      <w:spacing w:before="180"/>
      <w:jc w:val="center"/>
      <w:outlineLvl w:val="1"/>
    </w:pPr>
    <w:rPr>
      <w:rFonts w:eastAsia="Times New Roman"/>
      <w:b/>
      <w:lang w:eastAsia="x-none"/>
    </w:rPr>
  </w:style>
  <w:style w:type="paragraph" w:styleId="Heading3">
    <w:name w:val="heading 3"/>
    <w:basedOn w:val="Noidung"/>
    <w:next w:val="Normal"/>
    <w:link w:val="Heading3Char"/>
    <w:uiPriority w:val="9"/>
    <w:unhideWhenUsed/>
    <w:qFormat/>
    <w:rsid w:val="003E4347"/>
    <w:pPr>
      <w:outlineLvl w:val="2"/>
    </w:pPr>
    <w:rPr>
      <w:b/>
      <w:lang w:eastAsia="x-none"/>
    </w:rPr>
  </w:style>
  <w:style w:type="paragraph" w:styleId="Heading4">
    <w:name w:val="heading 4"/>
    <w:basedOn w:val="Noidung"/>
    <w:next w:val="Normal"/>
    <w:link w:val="Heading4Char"/>
    <w:uiPriority w:val="9"/>
    <w:semiHidden/>
    <w:unhideWhenUsed/>
    <w:qFormat/>
    <w:rsid w:val="003E4347"/>
    <w:pPr>
      <w:outlineLvl w:val="3"/>
    </w:pPr>
    <w:rPr>
      <w:b/>
      <w:i/>
      <w:lang w:val="x-none" w:eastAsia="x-none"/>
    </w:rPr>
  </w:style>
  <w:style w:type="paragraph" w:styleId="Heading5">
    <w:name w:val="heading 5"/>
    <w:basedOn w:val="Noidung"/>
    <w:next w:val="Normal"/>
    <w:link w:val="Heading5Char"/>
    <w:uiPriority w:val="9"/>
    <w:semiHidden/>
    <w:unhideWhenUsed/>
    <w:qFormat/>
    <w:rsid w:val="003E4347"/>
    <w:pPr>
      <w:outlineLvl w:val="4"/>
    </w:pPr>
    <w:rPr>
      <w:i/>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347"/>
    <w:rPr>
      <w:rFonts w:eastAsia="Times New Roman" w:cs="Times New Roman"/>
      <w:b/>
      <w:szCs w:val="24"/>
      <w:lang w:val="x-none" w:eastAsia="x-none"/>
    </w:rPr>
  </w:style>
  <w:style w:type="character" w:customStyle="1" w:styleId="Heading2Char">
    <w:name w:val="Heading 2 Char"/>
    <w:basedOn w:val="DefaultParagraphFont"/>
    <w:link w:val="Heading2"/>
    <w:uiPriority w:val="9"/>
    <w:semiHidden/>
    <w:rsid w:val="003E4347"/>
    <w:rPr>
      <w:rFonts w:eastAsia="Times New Roman" w:cs="Times New Roman"/>
      <w:b/>
      <w:lang w:val="vi-VN" w:eastAsia="x-none"/>
    </w:rPr>
  </w:style>
  <w:style w:type="character" w:customStyle="1" w:styleId="Heading3Char">
    <w:name w:val="Heading 3 Char"/>
    <w:basedOn w:val="DefaultParagraphFont"/>
    <w:link w:val="Heading3"/>
    <w:uiPriority w:val="9"/>
    <w:rsid w:val="003E4347"/>
    <w:rPr>
      <w:rFonts w:eastAsia="Times New Roman" w:cs="Times New Roman"/>
      <w:b/>
      <w:szCs w:val="24"/>
      <w:lang w:eastAsia="x-none"/>
    </w:rPr>
  </w:style>
  <w:style w:type="character" w:customStyle="1" w:styleId="Heading4Char">
    <w:name w:val="Heading 4 Char"/>
    <w:basedOn w:val="DefaultParagraphFont"/>
    <w:link w:val="Heading4"/>
    <w:uiPriority w:val="9"/>
    <w:semiHidden/>
    <w:rsid w:val="003E4347"/>
    <w:rPr>
      <w:rFonts w:eastAsia="Times New Roman" w:cs="Times New Roman"/>
      <w:b/>
      <w:i/>
      <w:szCs w:val="24"/>
      <w:lang w:val="x-none" w:eastAsia="x-none"/>
    </w:rPr>
  </w:style>
  <w:style w:type="character" w:customStyle="1" w:styleId="Heading5Char">
    <w:name w:val="Heading 5 Char"/>
    <w:basedOn w:val="DefaultParagraphFont"/>
    <w:link w:val="Heading5"/>
    <w:uiPriority w:val="9"/>
    <w:semiHidden/>
    <w:rsid w:val="003E4347"/>
    <w:rPr>
      <w:rFonts w:eastAsia="Times New Roman" w:cs="Times New Roman"/>
      <w:i/>
      <w:szCs w:val="24"/>
      <w:lang w:eastAsia="x-none"/>
    </w:rPr>
  </w:style>
  <w:style w:type="paragraph" w:customStyle="1" w:styleId="Noidung">
    <w:name w:val="Noi dung"/>
    <w:basedOn w:val="Normal"/>
    <w:rsid w:val="003E4347"/>
    <w:pPr>
      <w:widowControl w:val="0"/>
      <w:spacing w:before="120" w:line="252" w:lineRule="auto"/>
      <w:ind w:firstLine="567"/>
      <w:jc w:val="both"/>
    </w:pPr>
    <w:rPr>
      <w:rFonts w:eastAsia="Times New Roman"/>
      <w:szCs w:val="24"/>
      <w:lang w:val="en-US" w:eastAsia="vi-VN"/>
    </w:rPr>
  </w:style>
  <w:style w:type="paragraph" w:styleId="Revision">
    <w:name w:val="Revision"/>
    <w:hidden/>
    <w:uiPriority w:val="99"/>
    <w:semiHidden/>
    <w:rsid w:val="0079415A"/>
    <w:pPr>
      <w:spacing w:after="0" w:line="240" w:lineRule="auto"/>
    </w:pPr>
    <w:rPr>
      <w:rFonts w:eastAsia="Calibri" w:cs="Times New Roman"/>
      <w:lang w:val="vi-VN"/>
    </w:rPr>
  </w:style>
  <w:style w:type="paragraph" w:styleId="BalloonText">
    <w:name w:val="Balloon Text"/>
    <w:basedOn w:val="Normal"/>
    <w:link w:val="BalloonTextChar"/>
    <w:uiPriority w:val="99"/>
    <w:semiHidden/>
    <w:unhideWhenUsed/>
    <w:rsid w:val="0079415A"/>
    <w:rPr>
      <w:rFonts w:ascii="Tahoma" w:hAnsi="Tahoma" w:cs="Tahoma"/>
      <w:sz w:val="16"/>
      <w:szCs w:val="16"/>
    </w:rPr>
  </w:style>
  <w:style w:type="character" w:customStyle="1" w:styleId="BalloonTextChar">
    <w:name w:val="Balloon Text Char"/>
    <w:basedOn w:val="DefaultParagraphFont"/>
    <w:link w:val="BalloonText"/>
    <w:uiPriority w:val="99"/>
    <w:semiHidden/>
    <w:rsid w:val="0079415A"/>
    <w:rPr>
      <w:rFonts w:ascii="Tahoma" w:eastAsia="Calibri"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347"/>
    <w:pPr>
      <w:spacing w:after="0" w:line="240" w:lineRule="auto"/>
    </w:pPr>
    <w:rPr>
      <w:rFonts w:eastAsia="Calibri" w:cs="Times New Roman"/>
      <w:lang w:val="vi-VN"/>
    </w:rPr>
  </w:style>
  <w:style w:type="paragraph" w:styleId="Heading1">
    <w:name w:val="heading 1"/>
    <w:basedOn w:val="Noidung"/>
    <w:next w:val="Normal"/>
    <w:link w:val="Heading1Char"/>
    <w:uiPriority w:val="9"/>
    <w:qFormat/>
    <w:rsid w:val="003E4347"/>
    <w:pPr>
      <w:spacing w:before="720" w:after="360"/>
      <w:ind w:firstLine="0"/>
      <w:jc w:val="center"/>
      <w:outlineLvl w:val="0"/>
    </w:pPr>
    <w:rPr>
      <w:b/>
      <w:lang w:val="x-none" w:eastAsia="x-none"/>
    </w:rPr>
  </w:style>
  <w:style w:type="paragraph" w:styleId="Heading2">
    <w:name w:val="heading 2"/>
    <w:basedOn w:val="Normal"/>
    <w:next w:val="Normal"/>
    <w:link w:val="Heading2Char"/>
    <w:uiPriority w:val="9"/>
    <w:semiHidden/>
    <w:unhideWhenUsed/>
    <w:qFormat/>
    <w:rsid w:val="003E4347"/>
    <w:pPr>
      <w:spacing w:before="180"/>
      <w:jc w:val="center"/>
      <w:outlineLvl w:val="1"/>
    </w:pPr>
    <w:rPr>
      <w:rFonts w:eastAsia="Times New Roman"/>
      <w:b/>
      <w:lang w:eastAsia="x-none"/>
    </w:rPr>
  </w:style>
  <w:style w:type="paragraph" w:styleId="Heading3">
    <w:name w:val="heading 3"/>
    <w:basedOn w:val="Noidung"/>
    <w:next w:val="Normal"/>
    <w:link w:val="Heading3Char"/>
    <w:uiPriority w:val="9"/>
    <w:unhideWhenUsed/>
    <w:qFormat/>
    <w:rsid w:val="003E4347"/>
    <w:pPr>
      <w:outlineLvl w:val="2"/>
    </w:pPr>
    <w:rPr>
      <w:b/>
      <w:lang w:eastAsia="x-none"/>
    </w:rPr>
  </w:style>
  <w:style w:type="paragraph" w:styleId="Heading4">
    <w:name w:val="heading 4"/>
    <w:basedOn w:val="Noidung"/>
    <w:next w:val="Normal"/>
    <w:link w:val="Heading4Char"/>
    <w:uiPriority w:val="9"/>
    <w:semiHidden/>
    <w:unhideWhenUsed/>
    <w:qFormat/>
    <w:rsid w:val="003E4347"/>
    <w:pPr>
      <w:outlineLvl w:val="3"/>
    </w:pPr>
    <w:rPr>
      <w:b/>
      <w:i/>
      <w:lang w:val="x-none" w:eastAsia="x-none"/>
    </w:rPr>
  </w:style>
  <w:style w:type="paragraph" w:styleId="Heading5">
    <w:name w:val="heading 5"/>
    <w:basedOn w:val="Noidung"/>
    <w:next w:val="Normal"/>
    <w:link w:val="Heading5Char"/>
    <w:uiPriority w:val="9"/>
    <w:semiHidden/>
    <w:unhideWhenUsed/>
    <w:qFormat/>
    <w:rsid w:val="003E4347"/>
    <w:pPr>
      <w:outlineLvl w:val="4"/>
    </w:pPr>
    <w:rPr>
      <w:i/>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347"/>
    <w:rPr>
      <w:rFonts w:eastAsia="Times New Roman" w:cs="Times New Roman"/>
      <w:b/>
      <w:szCs w:val="24"/>
      <w:lang w:val="x-none" w:eastAsia="x-none"/>
    </w:rPr>
  </w:style>
  <w:style w:type="character" w:customStyle="1" w:styleId="Heading2Char">
    <w:name w:val="Heading 2 Char"/>
    <w:basedOn w:val="DefaultParagraphFont"/>
    <w:link w:val="Heading2"/>
    <w:uiPriority w:val="9"/>
    <w:semiHidden/>
    <w:rsid w:val="003E4347"/>
    <w:rPr>
      <w:rFonts w:eastAsia="Times New Roman" w:cs="Times New Roman"/>
      <w:b/>
      <w:lang w:val="vi-VN" w:eastAsia="x-none"/>
    </w:rPr>
  </w:style>
  <w:style w:type="character" w:customStyle="1" w:styleId="Heading3Char">
    <w:name w:val="Heading 3 Char"/>
    <w:basedOn w:val="DefaultParagraphFont"/>
    <w:link w:val="Heading3"/>
    <w:uiPriority w:val="9"/>
    <w:rsid w:val="003E4347"/>
    <w:rPr>
      <w:rFonts w:eastAsia="Times New Roman" w:cs="Times New Roman"/>
      <w:b/>
      <w:szCs w:val="24"/>
      <w:lang w:eastAsia="x-none"/>
    </w:rPr>
  </w:style>
  <w:style w:type="character" w:customStyle="1" w:styleId="Heading4Char">
    <w:name w:val="Heading 4 Char"/>
    <w:basedOn w:val="DefaultParagraphFont"/>
    <w:link w:val="Heading4"/>
    <w:uiPriority w:val="9"/>
    <w:semiHidden/>
    <w:rsid w:val="003E4347"/>
    <w:rPr>
      <w:rFonts w:eastAsia="Times New Roman" w:cs="Times New Roman"/>
      <w:b/>
      <w:i/>
      <w:szCs w:val="24"/>
      <w:lang w:val="x-none" w:eastAsia="x-none"/>
    </w:rPr>
  </w:style>
  <w:style w:type="character" w:customStyle="1" w:styleId="Heading5Char">
    <w:name w:val="Heading 5 Char"/>
    <w:basedOn w:val="DefaultParagraphFont"/>
    <w:link w:val="Heading5"/>
    <w:uiPriority w:val="9"/>
    <w:semiHidden/>
    <w:rsid w:val="003E4347"/>
    <w:rPr>
      <w:rFonts w:eastAsia="Times New Roman" w:cs="Times New Roman"/>
      <w:i/>
      <w:szCs w:val="24"/>
      <w:lang w:eastAsia="x-none"/>
    </w:rPr>
  </w:style>
  <w:style w:type="paragraph" w:customStyle="1" w:styleId="Noidung">
    <w:name w:val="Noi dung"/>
    <w:basedOn w:val="Normal"/>
    <w:rsid w:val="003E4347"/>
    <w:pPr>
      <w:widowControl w:val="0"/>
      <w:spacing w:before="120" w:line="252" w:lineRule="auto"/>
      <w:ind w:firstLine="567"/>
      <w:jc w:val="both"/>
    </w:pPr>
    <w:rPr>
      <w:rFonts w:eastAsia="Times New Roman"/>
      <w:szCs w:val="24"/>
      <w:lang w:val="en-US" w:eastAsia="vi-VN"/>
    </w:rPr>
  </w:style>
  <w:style w:type="paragraph" w:styleId="Revision">
    <w:name w:val="Revision"/>
    <w:hidden/>
    <w:uiPriority w:val="99"/>
    <w:semiHidden/>
    <w:rsid w:val="0079415A"/>
    <w:pPr>
      <w:spacing w:after="0" w:line="240" w:lineRule="auto"/>
    </w:pPr>
    <w:rPr>
      <w:rFonts w:eastAsia="Calibri" w:cs="Times New Roman"/>
      <w:lang w:val="vi-VN"/>
    </w:rPr>
  </w:style>
  <w:style w:type="paragraph" w:styleId="BalloonText">
    <w:name w:val="Balloon Text"/>
    <w:basedOn w:val="Normal"/>
    <w:link w:val="BalloonTextChar"/>
    <w:uiPriority w:val="99"/>
    <w:semiHidden/>
    <w:unhideWhenUsed/>
    <w:rsid w:val="0079415A"/>
    <w:rPr>
      <w:rFonts w:ascii="Tahoma" w:hAnsi="Tahoma" w:cs="Tahoma"/>
      <w:sz w:val="16"/>
      <w:szCs w:val="16"/>
    </w:rPr>
  </w:style>
  <w:style w:type="character" w:customStyle="1" w:styleId="BalloonTextChar">
    <w:name w:val="Balloon Text Char"/>
    <w:basedOn w:val="DefaultParagraphFont"/>
    <w:link w:val="BalloonText"/>
    <w:uiPriority w:val="99"/>
    <w:semiHidden/>
    <w:rsid w:val="0079415A"/>
    <w:rPr>
      <w:rFonts w:ascii="Tahoma" w:eastAsia="Calibri"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07737">
      <w:bodyDiv w:val="1"/>
      <w:marLeft w:val="0"/>
      <w:marRight w:val="0"/>
      <w:marTop w:val="0"/>
      <w:marBottom w:val="0"/>
      <w:divBdr>
        <w:top w:val="none" w:sz="0" w:space="0" w:color="auto"/>
        <w:left w:val="none" w:sz="0" w:space="0" w:color="auto"/>
        <w:bottom w:val="none" w:sz="0" w:space="0" w:color="auto"/>
        <w:right w:val="none" w:sz="0" w:space="0" w:color="auto"/>
      </w:divBdr>
    </w:div>
    <w:div w:id="44604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93467-9EDA-4FED-9CA9-D4053D1D1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1873</Words>
  <Characters>10679</Characters>
  <Application>Microsoft Office Word</Application>
  <DocSecurity>0</DocSecurity>
  <Lines>88</Lines>
  <Paragraphs>25</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vt:lpstr>NGHỊ QUYẾT Về phát triển bóng đá Hà Tĩnh đến năm 2030 /</vt:lpstr>
      <vt:lpstr>    QUYẾT NGHỊ:</vt:lpstr>
      <vt:lpstr>    Chương I NHỮNG QUY ĐỊNH CHUNG</vt:lpstr>
      <vt:lpstr>        Điều 1. Phạm vi điều chỉnh</vt:lpstr>
      <vt:lpstr>        Điều 2. Đối tượng áp dụng</vt:lpstr>
      <vt:lpstr>        2. Các sở, ban, ngành cấp tỉnh liên quan; UBND cấp huyện, cấp xã.</vt:lpstr>
      <vt:lpstr>    Chương II MỤC TIÊU VÀ GIẢI PHÁP</vt:lpstr>
      <vt:lpstr>        Điều 3. Muc tiêu</vt:lpstr>
      <vt:lpstr>        Điều 4. Giải pháp cụ thể</vt:lpstr>
      <vt:lpstr>        Cơ sở vật chất của bóng đá cấp tỉnh cần được cải thiện và đầu tư xây dựng đảm bả</vt:lpstr>
      <vt:lpstr>    Chương III TỔ CHỨC THỰC HIỆN</vt:lpstr>
      <vt:lpstr>        Điều 6. Nguồn kinh phí thực hiện</vt:lpstr>
      <vt:lpstr>        Điều 7. Tổ chức thực hiện</vt:lpstr>
    </vt:vector>
  </TitlesOfParts>
  <Company/>
  <LinksUpToDate>false</LinksUpToDate>
  <CharactersWithSpaces>12527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Pro</cp:lastModifiedBy>
  <cp:revision>20</cp:revision>
  <dcterms:created xsi:type="dcterms:W3CDTF">2019-07-06T20:42:00Z</dcterms:created>
  <dcterms:modified xsi:type="dcterms:W3CDTF">2019-07-08T20:16:00Z</dcterms:modified>
</cp:coreProperties>
</file>