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077"/>
        <w:gridCol w:w="5211"/>
      </w:tblGrid>
      <w:tr>
        <w:tc>
          <w:tcPr>
            <w:tcW w:w="2195" w:type="pct"/>
          </w:tcPr>
          <w:p>
            <w:pPr>
              <w:jc w:val="center"/>
              <w:rPr>
                <w:sz w:val="26"/>
                <w:szCs w:val="26"/>
              </w:rPr>
            </w:pPr>
            <w:r>
              <w:rPr>
                <w:sz w:val="26"/>
                <w:szCs w:val="26"/>
              </w:rPr>
              <w:t>HỘI LUẬT GIA TỈNH HÀ TĨNH</w:t>
            </w:r>
          </w:p>
          <w:p>
            <w:pPr>
              <w:jc w:val="center"/>
              <w:rPr>
                <w:rFonts w:ascii="Times New Roman Bold" w:hAnsi="Times New Roman Bold"/>
                <w:spacing w:val="-8"/>
              </w:rPr>
            </w:pPr>
            <w:r>
              <w:rPr>
                <w:rFonts w:ascii="Times New Roman Bold" w:hAnsi="Times New Roman Bold"/>
                <w:noProof/>
                <w:spacing w:val="-8"/>
                <w:lang w:val="vi-VN" w:eastAsia="vi-VN"/>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498475</wp:posOffset>
                      </wp:positionH>
                      <wp:positionV relativeFrom="paragraph">
                        <wp:posOffset>394558</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31.05pt" to="129.2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"/>
                  </w:pict>
                </mc:Fallback>
              </mc:AlternateContent>
            </w:r>
            <w:r>
              <w:rPr>
                <w:rFonts w:ascii="Times New Roman Bold" w:hAnsi="Times New Roman Bold"/>
                <w:b/>
                <w:bCs/>
                <w:spacing w:val="-8"/>
                <w:sz w:val="26"/>
                <w:szCs w:val="26"/>
              </w:rPr>
              <w:t>CHI HỘI LUẬT GIA VĂN PHÒNG ĐOÀN ĐBQH &amp;HĐND TỈNH</w:t>
            </w:r>
          </w:p>
        </w:tc>
        <w:tc>
          <w:tcPr>
            <w:tcW w:w="2805" w:type="pct"/>
          </w:tcPr>
          <w:p>
            <w:pPr>
              <w:jc w:val="center"/>
              <w:rPr>
                <w:rFonts w:ascii="Times New Roman Bold" w:hAnsi="Times New Roman Bold"/>
                <w:spacing w:val="-14"/>
                <w:sz w:val="26"/>
                <w:szCs w:val="26"/>
              </w:rPr>
            </w:pPr>
            <w:r>
              <w:rPr>
                <w:rFonts w:ascii="Times New Roman Bold" w:hAnsi="Times New Roman Bold"/>
                <w:b/>
                <w:bCs/>
                <w:spacing w:val="-14"/>
                <w:sz w:val="26"/>
                <w:szCs w:val="26"/>
              </w:rPr>
              <w:t>CỘNG HOÀ XÃ HỘI CHỦ NGHĨA VIỆT NAM</w:t>
            </w:r>
          </w:p>
          <w:p>
            <w:pPr>
              <w:jc w:val="center"/>
              <w:rPr>
                <w:b/>
                <w:bCs/>
                <w:szCs w:val="26"/>
              </w:rPr>
            </w:pPr>
            <w:r>
              <w:rPr>
                <w:b/>
                <w:bCs/>
                <w:szCs w:val="26"/>
              </w:rPr>
              <w:t>Độc lập - Tự do - Hạnh phúc</w:t>
            </w:r>
          </w:p>
          <w:p>
            <w:r>
              <w:rPr>
                <w:noProof/>
                <w:lang w:val="vi-VN" w:eastAsia="vi-VN"/>
                <w14:ligatures w14:val="standardContextual"/>
              </w:rPr>
              <mc:AlternateContent>
                <mc:Choice Requires="wps">
                  <w:drawing>
                    <wp:anchor distT="0" distB="0" distL="114300" distR="114300" simplePos="0" relativeHeight="251663360" behindDoc="0" locked="0" layoutInCell="1" allowOverlap="1">
                      <wp:simplePos x="0" y="0"/>
                      <wp:positionH relativeFrom="column">
                        <wp:posOffset>540385</wp:posOffset>
                      </wp:positionH>
                      <wp:positionV relativeFrom="paragraph">
                        <wp:posOffset>27082</wp:posOffset>
                      </wp:positionV>
                      <wp:extent cx="2137558"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2.15pt" to="210.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59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"/>
                  </w:pict>
                </mc:Fallback>
              </mc:AlternateContent>
            </w:r>
          </w:p>
        </w:tc>
      </w:tr>
      <w:tr>
        <w:tc>
          <w:tcPr>
            <w:tcW w:w="2195" w:type="pct"/>
          </w:tcPr>
          <w:p>
            <w:pPr>
              <w:ind w:left="360" w:hanging="360"/>
              <w:jc w:val="center"/>
              <w:rPr>
                <w:szCs w:val="26"/>
              </w:rPr>
            </w:pPr>
          </w:p>
        </w:tc>
        <w:tc>
          <w:tcPr>
            <w:tcW w:w="2805" w:type="pct"/>
          </w:tcPr>
          <w:p>
            <w:pPr>
              <w:jc w:val="center"/>
              <w:rPr>
                <w:b/>
                <w:bCs/>
                <w:sz w:val="26"/>
                <w:szCs w:val="26"/>
              </w:rPr>
            </w:pPr>
            <w:r>
              <w:rPr>
                <w:i/>
                <w:iCs/>
              </w:rPr>
              <w:t>Hà Tĩnh, ngày 31 tháng 7 năm 2024</w:t>
            </w:r>
          </w:p>
        </w:tc>
      </w:tr>
    </w:tbl>
    <w:p>
      <w:pPr>
        <w:tabs>
          <w:tab w:val="center" w:pos="4820"/>
          <w:tab w:val="left" w:pos="6075"/>
        </w:tabs>
        <w:spacing w:before="720"/>
        <w:jc w:val="center"/>
        <w:rPr>
          <w:b/>
          <w:szCs w:val="28"/>
        </w:rPr>
      </w:pPr>
      <w:r>
        <w:rPr>
          <w:b/>
          <w:szCs w:val="28"/>
        </w:rPr>
        <w:t>BÁO CÁO</w:t>
      </w:r>
    </w:p>
    <w:p>
      <w:pPr>
        <w:tabs>
          <w:tab w:val="center" w:pos="4820"/>
          <w:tab w:val="left" w:pos="6075"/>
        </w:tabs>
        <w:spacing w:after="600"/>
        <w:ind w:firstLine="720"/>
        <w:jc w:val="both"/>
        <w:rPr>
          <w:b/>
          <w:szCs w:val="28"/>
        </w:rPr>
      </w:pPr>
      <w:r>
        <w:rPr>
          <w:b/>
          <w:szCs w:val="28"/>
        </w:rPr>
        <w:t>KIỂM ĐIỂM CỦA BAN CHẤP HÀNH NHIỆM KỲ 2019 - 2024</w:t>
      </w:r>
    </w:p>
    <w:p>
      <w:pPr>
        <w:spacing w:before="100" w:after="100" w:line="340" w:lineRule="exact"/>
        <w:ind w:firstLine="720"/>
        <w:jc w:val="both"/>
      </w:pPr>
      <w:r>
        <w:t>Đại hội Chi hội luật gia Văn phòng Đoàn ĐBQH và HĐND tỉnh nhiệm kỳ 2019 - 2024 đã bầu ra Ban Chấp hành Chi hội gồm 4 đồng chí. Ban Chấp hành đã bầu 01 đồng chí Chi hội trưởng, 01 đồng chí Phó Chi hội trưởng và 02 đồng chí ủy viên.</w:t>
      </w:r>
    </w:p>
    <w:p>
      <w:pPr>
        <w:spacing w:before="100" w:after="100" w:line="340" w:lineRule="exact"/>
        <w:ind w:firstLine="720"/>
        <w:jc w:val="both"/>
      </w:pPr>
      <w:r>
        <w:t>Qua 5 năm hoạt động Ban Chấp hành Chi hội Luật gia Văn phòng Đoàn ĐBQH và HĐND tỉnh nhi</w:t>
      </w:r>
      <w:bookmarkStart w:id="0" w:name="_GoBack"/>
      <w:bookmarkEnd w:id="0"/>
      <w:r>
        <w:t>ệm kỳ 2019 - 2024 đánh giá có những ưu điểm, tồn tại như sau:</w:t>
      </w:r>
    </w:p>
    <w:p>
      <w:pPr>
        <w:spacing w:before="100" w:after="100" w:line="340" w:lineRule="exact"/>
        <w:ind w:firstLine="720"/>
        <w:jc w:val="both"/>
        <w:rPr>
          <w:b/>
        </w:rPr>
      </w:pPr>
      <w:r>
        <w:rPr>
          <w:b/>
        </w:rPr>
        <w:t>I. ƯU ĐIỂM:</w:t>
      </w:r>
    </w:p>
    <w:p>
      <w:pPr>
        <w:spacing w:before="100" w:after="100" w:line="340" w:lineRule="exact"/>
        <w:ind w:firstLine="720"/>
        <w:jc w:val="both"/>
      </w:pPr>
      <w:r>
        <w:t>Ban Chấp hành Chi hội Văn phòng Đoàn ĐBQH và HĐND tỉnh nhiệm kỳ 2019 - 2024 là những cán bộ, hội viên hội luật gia tiêu biểu, có đạo đức tốt; có lập trường, bản lĩnh chính trị vững vàng, kiên định, tin tưởng tuyệt đối vào sự lãnh đạo của Đảng; có tinh thần trách nhiệm cao trong công việc chuyên môn cũng như trong công tác hội; là những đồng chí có trình độ, năng lực, trình độ chuyên môn tương đối cao.</w:t>
      </w:r>
    </w:p>
    <w:p>
      <w:pPr>
        <w:spacing w:before="100" w:after="100" w:line="340" w:lineRule="exact"/>
        <w:ind w:firstLine="720"/>
        <w:jc w:val="both"/>
      </w:pPr>
      <w:r>
        <w:t>Trong nhiệm kỳ Ban Chấp hành Chi hội đã thực hiện nghiêm túc về nguyên tắc tập trung dân chủ; đã có nhiều giải pháp tích cực, chủ động, sáng tạo, tranh thủ sự lãnh, chỉ đạo của Đảng ủy, Lãnh đạo Hội đồng nhân dân, Đoàn ĐBQH, Văn phòng Đoàn ĐBQH và HĐND tỉnh, Hội Luật gia tỉnh tiếp tục đổi mới, nâng cao chất lượng hiệu quả hoạt động, góp phần xây dựng Chi hội ngày càng vững mạnh.</w:t>
      </w:r>
    </w:p>
    <w:p>
      <w:pPr>
        <w:spacing w:before="100" w:after="100" w:line="340" w:lineRule="exact"/>
        <w:ind w:firstLine="720"/>
        <w:jc w:val="both"/>
      </w:pPr>
      <w:r>
        <w:t>Kịp thời ban hành Chương trình hành động, tổ chức thực hiện nhiệm vụ mà Nghị quyết đại biểu Hội Luật gia tỉnh lần thứ V đã đề ra. Triển khai thực hiện các chương trình, kế hoạch hành động có trọng tâm, trọng điểm cho từng quý, từng năm, cụ thể như sau:</w:t>
      </w:r>
    </w:p>
    <w:p>
      <w:pPr>
        <w:spacing w:before="100" w:after="100" w:line="340" w:lineRule="exact"/>
        <w:ind w:firstLine="720"/>
        <w:rPr>
          <w:b/>
        </w:rPr>
      </w:pPr>
      <w:r>
        <w:rPr>
          <w:b/>
        </w:rPr>
        <w:t>1. Công tác xây dựng chính sách pháp luật, giám sát, phản biện xã hội</w:t>
      </w:r>
    </w:p>
    <w:p>
      <w:pPr>
        <w:pStyle w:val="NormalWeb"/>
        <w:widowControl w:val="0"/>
        <w:spacing w:beforeAutospacing="0" w:afterAutospacing="0" w:line="340" w:lineRule="exact"/>
        <w:ind w:firstLine="720"/>
        <w:jc w:val="both"/>
        <w:rPr>
          <w:szCs w:val="28"/>
        </w:rPr>
      </w:pPr>
      <w:r>
        <w:rPr>
          <w:sz w:val="28"/>
          <w:szCs w:val="28"/>
          <w:lang w:val="nl-NL"/>
        </w:rPr>
        <w:t xml:space="preserve">Chi hội phối hợp với </w:t>
      </w:r>
      <w:r>
        <w:rPr>
          <w:sz w:val="28"/>
          <w:szCs w:val="28"/>
          <w:lang w:val="sv-SE"/>
        </w:rPr>
        <w:t>các cơ quan, đơn vị liên quan để t</w:t>
      </w:r>
      <w:r>
        <w:rPr>
          <w:sz w:val="28"/>
          <w:szCs w:val="28"/>
        </w:rPr>
        <w:t xml:space="preserve">ham gia đóng góp ý kiến vào </w:t>
      </w:r>
      <w:r>
        <w:rPr>
          <w:b/>
          <w:sz w:val="28"/>
          <w:szCs w:val="28"/>
        </w:rPr>
        <w:t>39</w:t>
      </w:r>
      <w:r>
        <w:rPr>
          <w:sz w:val="28"/>
          <w:szCs w:val="28"/>
        </w:rPr>
        <w:t xml:space="preserve"> dự thảo Luật</w:t>
      </w:r>
      <w:r>
        <w:rPr>
          <w:sz w:val="28"/>
          <w:szCs w:val="28"/>
          <w:lang w:val="en-US"/>
        </w:rPr>
        <w:t xml:space="preserve">; phối hợp tham mưu tổ chức hội nghị </w:t>
      </w:r>
      <w:r>
        <w:rPr>
          <w:sz w:val="28"/>
          <w:szCs w:val="28"/>
        </w:rPr>
        <w:t xml:space="preserve">lấy ý kiến Luật Đất đai (sửa đổi); </w:t>
      </w:r>
      <w:r>
        <w:rPr>
          <w:sz w:val="28"/>
          <w:szCs w:val="28"/>
          <w:lang w:val="en-US"/>
        </w:rPr>
        <w:t>t</w:t>
      </w:r>
      <w:r>
        <w:rPr>
          <w:sz w:val="28"/>
          <w:szCs w:val="28"/>
        </w:rPr>
        <w:t xml:space="preserve">ổ chức </w:t>
      </w:r>
      <w:r>
        <w:rPr>
          <w:sz w:val="28"/>
          <w:szCs w:val="28"/>
          <w:lang w:val="vi-VN"/>
        </w:rPr>
        <w:t>t</w:t>
      </w:r>
      <w:r>
        <w:rPr>
          <w:sz w:val="28"/>
          <w:szCs w:val="28"/>
        </w:rPr>
        <w:t xml:space="preserve">ọa đàm góp ý dự thảo Luật </w:t>
      </w:r>
      <w:r>
        <w:rPr>
          <w:sz w:val="28"/>
          <w:szCs w:val="28"/>
          <w:lang w:val="vi-VN"/>
        </w:rPr>
        <w:t xml:space="preserve">Giao thông đường bộ </w:t>
      </w:r>
      <w:r>
        <w:rPr>
          <w:sz w:val="28"/>
          <w:szCs w:val="28"/>
        </w:rPr>
        <w:t>(sửa đổi)</w:t>
      </w:r>
      <w:r>
        <w:rPr>
          <w:sz w:val="28"/>
          <w:szCs w:val="28"/>
          <w:lang w:val="vi-VN"/>
        </w:rPr>
        <w:t>;</w:t>
      </w:r>
      <w:r>
        <w:rPr>
          <w:sz w:val="28"/>
          <w:szCs w:val="28"/>
          <w:lang w:val="en-US"/>
        </w:rPr>
        <w:t xml:space="preserve"> </w:t>
      </w:r>
      <w:r>
        <w:rPr>
          <w:sz w:val="28"/>
          <w:szCs w:val="28"/>
          <w:lang w:val="vi-VN"/>
        </w:rPr>
        <w:t>Luật Bảo đảm trật tự, an toàn giao thông</w:t>
      </w:r>
      <w:r>
        <w:rPr>
          <w:sz w:val="28"/>
          <w:szCs w:val="28"/>
          <w:lang w:val="en-US"/>
        </w:rPr>
        <w:t>…</w:t>
      </w:r>
    </w:p>
    <w:p>
      <w:pPr>
        <w:spacing w:before="100" w:after="100" w:line="340" w:lineRule="exact"/>
        <w:ind w:firstLine="720"/>
        <w:jc w:val="both"/>
        <w:rPr>
          <w:b/>
          <w:bCs/>
          <w:szCs w:val="28"/>
        </w:rPr>
      </w:pPr>
      <w:r>
        <w:rPr>
          <w:szCs w:val="28"/>
        </w:rPr>
        <w:t xml:space="preserve">Ngoài ra, hội viên Chi hội còn tham gia nghiên cứu khoa học pháp lý, viết bài tham luận xây dựng chính sách pháp luật mang tính lý luận chuyên sâu, có </w:t>
      </w:r>
      <w:r>
        <w:rPr>
          <w:szCs w:val="28"/>
        </w:rPr>
        <w:lastRenderedPageBreak/>
        <w:t>tính phản biện xã hội, tham gia hội nghị, hội thảo khoa học pháp lý của tỉnh, của Trung ương tổ chức.</w:t>
      </w:r>
    </w:p>
    <w:p>
      <w:pPr>
        <w:spacing w:before="120" w:after="120" w:line="340" w:lineRule="exact"/>
        <w:ind w:firstLine="720"/>
        <w:jc w:val="both"/>
        <w:rPr>
          <w:b/>
          <w:bCs/>
          <w:szCs w:val="28"/>
        </w:rPr>
      </w:pPr>
      <w:r>
        <w:rPr>
          <w:b/>
          <w:bCs/>
          <w:szCs w:val="28"/>
        </w:rPr>
        <w:t>2. Công tác tư vấn pháp luật và trợ giúp pháp lý</w:t>
      </w:r>
    </w:p>
    <w:p>
      <w:pPr>
        <w:spacing w:before="120" w:after="120" w:line="340" w:lineRule="exact"/>
        <w:ind w:firstLine="720"/>
        <w:jc w:val="both"/>
        <w:rPr>
          <w:szCs w:val="28"/>
          <w:shd w:val="clear" w:color="auto" w:fill="FFFFFF"/>
        </w:rPr>
      </w:pPr>
      <w:r>
        <w:rPr>
          <w:szCs w:val="28"/>
        </w:rPr>
        <w:t>Đã gián tiếp tham gia dự án “Tư vấn pháp luật cho phạm nhân và người mới chấp hành xong án phạt tù giai đoạn 2017-2021”</w:t>
      </w:r>
      <w:r>
        <w:rPr>
          <w:szCs w:val="28"/>
          <w:lang w:val="zu-ZA"/>
        </w:rPr>
        <w:t xml:space="preserve">. </w:t>
      </w:r>
      <w:r>
        <w:rPr>
          <w:iCs/>
          <w:szCs w:val="28"/>
        </w:rPr>
        <w:t>Tham gia 18 kỳ tiếp xúc cử tri góp phần hỗ trợ công tác trợ giúp pháp lý</w:t>
      </w:r>
      <w:r>
        <w:rPr>
          <w:szCs w:val="28"/>
          <w:shd w:val="clear" w:color="auto" w:fill="FFFFFF"/>
        </w:rPr>
        <w:t>. Các cuộc tiếp xúc cử tri thu hút được sự quan tâm, tham dự của cử tri và nâng cao ý thức về trách nhiệm giải trình, tiếp thu của cơ quan chức năng, chính quyền địa phương.</w:t>
      </w:r>
    </w:p>
    <w:p>
      <w:pPr>
        <w:spacing w:before="120" w:after="120" w:line="340" w:lineRule="exact"/>
        <w:ind w:firstLine="720"/>
        <w:jc w:val="both"/>
        <w:rPr>
          <w:b/>
          <w:bCs/>
          <w:szCs w:val="28"/>
        </w:rPr>
      </w:pPr>
      <w:r>
        <w:rPr>
          <w:b/>
          <w:bCs/>
          <w:szCs w:val="28"/>
        </w:rPr>
        <w:t>3. Công tác tuyên truyền, phổ biến giáo dục pháp luật</w:t>
      </w:r>
    </w:p>
    <w:p>
      <w:pPr>
        <w:spacing w:before="120" w:after="120" w:line="340" w:lineRule="exact"/>
        <w:ind w:firstLine="720"/>
        <w:jc w:val="both"/>
        <w:rPr>
          <w:szCs w:val="28"/>
          <w:lang w:val="nl-NL"/>
        </w:rPr>
      </w:pPr>
      <w:r>
        <w:rPr>
          <w:szCs w:val="28"/>
        </w:rPr>
        <w:t xml:space="preserve">Nhiệm kỳ 2019-2024, hội viên Chi hội đã tham gia xây dựng các nghị quyết của HĐND và các chính sách pháp luật khác. In ấn, phát hành hàng chục văn bản có nội dung tuyên truyền việc thực hiện các Bộ Luật, Luật, các chủ trương, chính sách mới của Đảng, Chính phủ, Nghị quyết của HĐND tỉnh </w:t>
      </w:r>
      <w:r>
        <w:rPr>
          <w:szCs w:val="28"/>
          <w:lang w:val="nl-NL"/>
        </w:rPr>
        <w:t>đến các tổ chức, cơ quan, đơn vị và các tầng lớp Nhân dân.</w:t>
      </w:r>
    </w:p>
    <w:p>
      <w:pPr>
        <w:spacing w:before="120" w:after="120" w:line="340" w:lineRule="exact"/>
        <w:ind w:firstLine="720"/>
        <w:jc w:val="both"/>
        <w:rPr>
          <w:szCs w:val="28"/>
        </w:rPr>
      </w:pPr>
      <w:r>
        <w:rPr>
          <w:szCs w:val="28"/>
          <w:lang w:val="nl-NL"/>
        </w:rPr>
        <w:t>Đặc biệt, Hội viên Chi hội tham mưu Đoàn ĐBQH tỉnh tổ chức khảo sát chuyên đề v</w:t>
      </w:r>
      <w:r>
        <w:rPr>
          <w:szCs w:val="28"/>
        </w:rPr>
        <w:t>iệc thực hiện pháp luật về công tác phổ biến, giáo dục pháp luật giai đoạn 2017-2021 trên địa bàn tỉnh Hà Tĩnh; tham mưu HĐND tỉnh giám sát việc thực hiện các chế độ, chính sách pháp luật đối với người lao động trong các đơn vị sự nghiệp công lập, doanh nghiệp, hợp tác xã trên địa bàn tỉnh…</w:t>
      </w:r>
    </w:p>
    <w:p>
      <w:pPr>
        <w:spacing w:before="120" w:after="120" w:line="340" w:lineRule="exact"/>
        <w:ind w:firstLine="720"/>
        <w:jc w:val="both"/>
        <w:rPr>
          <w:b/>
          <w:bCs/>
          <w:szCs w:val="28"/>
        </w:rPr>
      </w:pPr>
      <w:r>
        <w:rPr>
          <w:b/>
          <w:bCs/>
          <w:szCs w:val="28"/>
        </w:rPr>
        <w:t>4. Tham gia giải quyết khiếu nại, hòa giải cơ sở</w:t>
      </w:r>
    </w:p>
    <w:p>
      <w:pPr>
        <w:spacing w:before="120" w:after="120" w:line="340" w:lineRule="exact"/>
        <w:ind w:firstLine="720"/>
        <w:jc w:val="both"/>
        <w:rPr>
          <w:szCs w:val="28"/>
        </w:rPr>
      </w:pPr>
      <w:r>
        <w:rPr>
          <w:szCs w:val="28"/>
        </w:rPr>
        <w:t xml:space="preserve">Nhiều hội viên tham gia các phiên tiếp công dân định kỳ hàng tháng, chuyên đề đột xuất do Thường trực Tỉnh ủy, Trưởng đoàn Đại biểu Quốc hội tỉnh, Thường trực HĐND tỉnh, Chủ tịch UBND tỉnh giải quyết khiếu nại, tố cáo. </w:t>
      </w:r>
      <w:r>
        <w:rPr>
          <w:bCs/>
          <w:szCs w:val="28"/>
        </w:rPr>
        <w:t>Tại các buổi tiếp công dân định kỳ</w:t>
      </w:r>
      <w:r>
        <w:rPr>
          <w:bCs/>
          <w:szCs w:val="28"/>
          <w:lang w:val="vi-VN"/>
        </w:rPr>
        <w:t xml:space="preserve">, lắng nghe </w:t>
      </w:r>
      <w:r>
        <w:rPr>
          <w:bCs/>
          <w:szCs w:val="28"/>
        </w:rPr>
        <w:t xml:space="preserve">tâm tư, </w:t>
      </w:r>
      <w:r>
        <w:rPr>
          <w:bCs/>
          <w:szCs w:val="28"/>
          <w:lang w:val="vi-VN"/>
        </w:rPr>
        <w:t>nguyện vọng của</w:t>
      </w:r>
      <w:r>
        <w:rPr>
          <w:bCs/>
          <w:szCs w:val="28"/>
        </w:rPr>
        <w:t xml:space="preserve"> người</w:t>
      </w:r>
      <w:r>
        <w:rPr>
          <w:bCs/>
          <w:szCs w:val="28"/>
          <w:lang w:val="vi-VN"/>
        </w:rPr>
        <w:t xml:space="preserve"> dân</w:t>
      </w:r>
      <w:r>
        <w:rPr>
          <w:bCs/>
          <w:szCs w:val="28"/>
        </w:rPr>
        <w:t xml:space="preserve">; chú trọng việc tuyên truyền vận động, hướng dẫn công dân thực hiện quyền khiếu nại, tố cáo theo đúng trình tự, thủ tục và thẩm quyền. </w:t>
      </w:r>
    </w:p>
    <w:p>
      <w:pPr>
        <w:spacing w:before="120" w:after="120" w:line="340" w:lineRule="exact"/>
        <w:ind w:firstLine="720"/>
        <w:jc w:val="both"/>
        <w:rPr>
          <w:szCs w:val="28"/>
        </w:rPr>
      </w:pPr>
      <w:r>
        <w:rPr>
          <w:szCs w:val="28"/>
        </w:rPr>
        <w:t>Đồng thời, hằng tháng, hội viên tham mưu, tổng hợp Báo cáo Công tác dân nguyện, qua báo cáo đã kịp thời phản ánh tâm tư, nguyện vọng, kiến nghị của cử tri và Nhân dân đến các cơ quan có thẩm quyền ở Trung ương. Từ đó có các giải pháp nâng cao hiệu quả trong công tác tiếp công dân, giải quyết đơn thư khiếu nại, tố cáo.</w:t>
      </w:r>
    </w:p>
    <w:p>
      <w:pPr>
        <w:spacing w:before="120" w:after="120" w:line="340" w:lineRule="exact"/>
        <w:ind w:firstLine="720"/>
        <w:jc w:val="both"/>
        <w:rPr>
          <w:b/>
          <w:bCs/>
          <w:spacing w:val="-8"/>
          <w:szCs w:val="28"/>
        </w:rPr>
      </w:pPr>
      <w:r>
        <w:rPr>
          <w:b/>
          <w:bCs/>
          <w:spacing w:val="-8"/>
          <w:szCs w:val="28"/>
        </w:rPr>
        <w:t>5. Tham gia cải cách tư pháp, cải cách hành chính, giám sát thi hành luật</w:t>
      </w:r>
    </w:p>
    <w:p>
      <w:pPr>
        <w:spacing w:before="120" w:after="120" w:line="340" w:lineRule="exact"/>
        <w:ind w:firstLine="720"/>
        <w:jc w:val="both"/>
        <w:rPr>
          <w:rFonts w:eastAsia="Times New Roman"/>
          <w:iCs/>
          <w:szCs w:val="28"/>
        </w:rPr>
      </w:pPr>
      <w:r>
        <w:rPr>
          <w:szCs w:val="28"/>
        </w:rPr>
        <w:t xml:space="preserve">Trong nhiệm kỳ, hội viên Chi hội đã tham mưu, trực tiếp tham gia </w:t>
      </w:r>
      <w:r>
        <w:rPr>
          <w:szCs w:val="28"/>
          <w:lang w:val="vi-VN"/>
        </w:rPr>
        <w:t>38</w:t>
      </w:r>
      <w:r>
        <w:rPr>
          <w:szCs w:val="28"/>
        </w:rPr>
        <w:t xml:space="preserve"> </w:t>
      </w:r>
      <w:r>
        <w:rPr>
          <w:rFonts w:eastAsia="Times New Roman"/>
          <w:iCs/>
          <w:szCs w:val="28"/>
        </w:rPr>
        <w:t>cuộc</w:t>
      </w:r>
      <w:r>
        <w:rPr>
          <w:rFonts w:eastAsia="Times New Roman"/>
          <w:iCs/>
          <w:szCs w:val="28"/>
          <w:lang w:val="vi-VN"/>
        </w:rPr>
        <w:t xml:space="preserve"> giám sát chuyên đề, trong đó có 15 cuộc giám sát chuyên đề của Đoàn ĐBQH, 23 cuộc giám sát chuyên đề của HĐND tỉnh, các ban HĐND tỉnh và trên 300 cuộc giám sát,</w:t>
      </w:r>
      <w:r>
        <w:rPr>
          <w:rFonts w:eastAsia="Times New Roman"/>
          <w:iCs/>
          <w:szCs w:val="28"/>
        </w:rPr>
        <w:t xml:space="preserve"> khảo sát</w:t>
      </w:r>
      <w:r>
        <w:rPr>
          <w:rFonts w:eastAsia="Times New Roman"/>
          <w:iCs/>
          <w:szCs w:val="28"/>
          <w:lang w:val="vi-VN"/>
        </w:rPr>
        <w:t xml:space="preserve"> thường xuyên về</w:t>
      </w:r>
      <w:r>
        <w:rPr>
          <w:rFonts w:eastAsia="Times New Roman"/>
          <w:iCs/>
          <w:szCs w:val="28"/>
        </w:rPr>
        <w:t xml:space="preserve"> thực hiện chính sách pháp luật của Đoàn ĐBQH</w:t>
      </w:r>
      <w:r>
        <w:rPr>
          <w:rFonts w:eastAsia="Times New Roman"/>
          <w:iCs/>
          <w:szCs w:val="28"/>
          <w:lang w:val="vi-VN"/>
        </w:rPr>
        <w:t>,</w:t>
      </w:r>
      <w:r>
        <w:rPr>
          <w:rFonts w:eastAsia="Times New Roman"/>
          <w:iCs/>
          <w:szCs w:val="28"/>
        </w:rPr>
        <w:t xml:space="preserve"> HĐND tỉnh.</w:t>
      </w:r>
    </w:p>
    <w:p>
      <w:pPr>
        <w:spacing w:before="120" w:after="120" w:line="340" w:lineRule="exact"/>
        <w:ind w:firstLine="720"/>
        <w:jc w:val="both"/>
        <w:rPr>
          <w:b/>
          <w:bCs/>
          <w:szCs w:val="28"/>
        </w:rPr>
      </w:pPr>
      <w:r>
        <w:rPr>
          <w:b/>
          <w:bCs/>
          <w:szCs w:val="28"/>
        </w:rPr>
        <w:t>6. Công tác củng cố tổ chức và phát triển hội viên</w:t>
      </w:r>
    </w:p>
    <w:p>
      <w:pPr>
        <w:spacing w:before="120" w:after="120" w:line="340" w:lineRule="exact"/>
        <w:ind w:firstLine="720"/>
        <w:jc w:val="both"/>
        <w:rPr>
          <w:szCs w:val="28"/>
        </w:rPr>
      </w:pPr>
      <w:r>
        <w:rPr>
          <w:bCs/>
          <w:szCs w:val="28"/>
        </w:rPr>
        <w:lastRenderedPageBreak/>
        <w:t xml:space="preserve">- Chi hội luật gia Văn phòng Đoàn ĐBQH và HĐND tỉnh hiện có 13 hội viên; có </w:t>
      </w:r>
      <w:r>
        <w:rPr>
          <w:szCs w:val="28"/>
        </w:rPr>
        <w:t>8</w:t>
      </w:r>
      <w:r>
        <w:rPr>
          <w:szCs w:val="28"/>
          <w:lang w:val="vi-VN"/>
        </w:rPr>
        <w:t xml:space="preserve"> nam, </w:t>
      </w:r>
      <w:r>
        <w:rPr>
          <w:szCs w:val="28"/>
        </w:rPr>
        <w:t>05</w:t>
      </w:r>
      <w:r>
        <w:rPr>
          <w:szCs w:val="28"/>
          <w:lang w:val="vi-VN"/>
        </w:rPr>
        <w:t xml:space="preserve"> nữ; </w:t>
      </w:r>
      <w:r>
        <w:rPr>
          <w:szCs w:val="28"/>
        </w:rPr>
        <w:t>13/13</w:t>
      </w:r>
      <w:r>
        <w:rPr>
          <w:szCs w:val="28"/>
          <w:lang w:val="vi-VN"/>
        </w:rPr>
        <w:t xml:space="preserve"> đồng chí là đảng viên</w:t>
      </w:r>
      <w:r>
        <w:rPr>
          <w:szCs w:val="28"/>
        </w:rPr>
        <w:t>. Ban Chấp hành Chi hội được chỉ định lâm thời 04 đồng chí gồm 01 Chi hội trưởng, 01 Chi hội phó và 02 Ủy viên.</w:t>
      </w:r>
    </w:p>
    <w:p>
      <w:pPr>
        <w:spacing w:before="120" w:after="120" w:line="340" w:lineRule="exact"/>
        <w:ind w:firstLine="720"/>
        <w:jc w:val="both"/>
        <w:rPr>
          <w:szCs w:val="28"/>
        </w:rPr>
      </w:pPr>
      <w:r>
        <w:rPr>
          <w:szCs w:val="28"/>
        </w:rPr>
        <w:t xml:space="preserve">Ban Chấp hành Chi hội luôn quan tâm, chú trọng củng cố tổ chức và phát triển hội viên. Trong nhiệm kỳ, Chi hội </w:t>
      </w:r>
      <w:r>
        <w:rPr>
          <w:szCs w:val="28"/>
          <w:lang w:val="vi-VN"/>
        </w:rPr>
        <w:t xml:space="preserve">tổ chức </w:t>
      </w:r>
      <w:r>
        <w:rPr>
          <w:szCs w:val="28"/>
        </w:rPr>
        <w:t xml:space="preserve">kết nạp </w:t>
      </w:r>
      <w:r>
        <w:rPr>
          <w:szCs w:val="28"/>
          <w:lang w:val="vi-VN"/>
        </w:rPr>
        <w:t>và trao thẻ</w:t>
      </w:r>
      <w:r>
        <w:rPr>
          <w:szCs w:val="28"/>
        </w:rPr>
        <w:t xml:space="preserve"> cho</w:t>
      </w:r>
      <w:r>
        <w:rPr>
          <w:szCs w:val="28"/>
          <w:lang w:val="vi-VN"/>
        </w:rPr>
        <w:t xml:space="preserve"> </w:t>
      </w:r>
      <w:r>
        <w:rPr>
          <w:b/>
          <w:szCs w:val="28"/>
        </w:rPr>
        <w:t>09</w:t>
      </w:r>
      <w:r>
        <w:rPr>
          <w:szCs w:val="28"/>
        </w:rPr>
        <w:t xml:space="preserve"> hội viên mới</w:t>
      </w:r>
      <w:r>
        <w:rPr>
          <w:szCs w:val="28"/>
          <w:lang w:val="vi-VN"/>
        </w:rPr>
        <w:t>.</w:t>
      </w:r>
    </w:p>
    <w:p>
      <w:pPr>
        <w:spacing w:before="120" w:after="120" w:line="340" w:lineRule="exact"/>
        <w:ind w:firstLine="720"/>
        <w:jc w:val="both"/>
        <w:rPr>
          <w:szCs w:val="28"/>
        </w:rPr>
      </w:pPr>
      <w:r>
        <w:rPr>
          <w:b/>
          <w:bCs/>
          <w:szCs w:val="28"/>
        </w:rPr>
        <w:t>7. Công tác thi đua, khen thưởng</w:t>
      </w:r>
    </w:p>
    <w:p>
      <w:pPr>
        <w:spacing w:before="120" w:after="120" w:line="340" w:lineRule="exact"/>
        <w:ind w:firstLine="720"/>
        <w:jc w:val="both"/>
        <w:rPr>
          <w:szCs w:val="28"/>
        </w:rPr>
      </w:pPr>
      <w:r>
        <w:rPr>
          <w:szCs w:val="28"/>
        </w:rPr>
        <w:t xml:space="preserve">Trong nhiệm kỳ Chi hội đã được Trung ương Hội luật gia Việt Nam tặng  Bằng khen, được Ban Thường vụ Hội Luật gia tỉnh liên tục 4 năm liền tặng Giấy khen; </w:t>
      </w:r>
      <w:r>
        <w:rPr>
          <w:b/>
          <w:szCs w:val="28"/>
        </w:rPr>
        <w:t>02</w:t>
      </w:r>
      <w:r>
        <w:rPr>
          <w:szCs w:val="28"/>
        </w:rPr>
        <w:t xml:space="preserve"> cá nhân được Trung ương Hội luật gia Việt Nam tặng Bằng khen, </w:t>
      </w:r>
      <w:r>
        <w:rPr>
          <w:b/>
          <w:szCs w:val="28"/>
        </w:rPr>
        <w:t xml:space="preserve">05 </w:t>
      </w:r>
      <w:r>
        <w:rPr>
          <w:szCs w:val="28"/>
        </w:rPr>
        <w:t>cá nhân được Hội luật gia tỉnh tặng Giấy khen.</w:t>
      </w:r>
    </w:p>
    <w:p>
      <w:pPr>
        <w:spacing w:before="120" w:after="120" w:line="340" w:lineRule="exact"/>
        <w:ind w:firstLine="720"/>
        <w:jc w:val="both"/>
        <w:rPr>
          <w:b/>
        </w:rPr>
      </w:pPr>
      <w:r>
        <w:rPr>
          <w:b/>
        </w:rPr>
        <w:t>II. TỒN TẠI, HẠN CHẾ:</w:t>
      </w:r>
    </w:p>
    <w:p>
      <w:pPr>
        <w:spacing w:before="120" w:after="120" w:line="340" w:lineRule="exact"/>
        <w:ind w:firstLine="720"/>
        <w:jc w:val="both"/>
        <w:rPr>
          <w:color w:val="000000"/>
          <w:szCs w:val="28"/>
          <w:shd w:val="clear" w:color="auto" w:fill="FFFFFF"/>
        </w:rPr>
      </w:pPr>
      <w:r>
        <w:rPr>
          <w:color w:val="000000"/>
          <w:szCs w:val="28"/>
          <w:shd w:val="clear" w:color="auto" w:fill="FFFFFF"/>
        </w:rPr>
        <w:t>Bên cạnh những kết quả đã đạt được, trong quá trình hoạt động, Chi hội cũng còn một số tồn tại, hạn chế như:</w:t>
      </w:r>
    </w:p>
    <w:p>
      <w:pPr>
        <w:spacing w:before="120" w:after="120" w:line="340" w:lineRule="exact"/>
        <w:ind w:firstLine="720"/>
        <w:jc w:val="both"/>
        <w:rPr>
          <w:color w:val="000000"/>
          <w:szCs w:val="28"/>
          <w:shd w:val="clear" w:color="auto" w:fill="FFFFFF"/>
        </w:rPr>
      </w:pPr>
      <w:r>
        <w:rPr>
          <w:szCs w:val="28"/>
        </w:rPr>
        <w:t>Trước tình hình dịch bệnh Covid - 19 diễn biến hết sức phức tạp, một số nội dung, chương trình, sinh hoạt chưa đảm bảo theo đúng kế hoạch.</w:t>
      </w:r>
    </w:p>
    <w:p>
      <w:pPr>
        <w:spacing w:before="120" w:after="120" w:line="340" w:lineRule="exact"/>
        <w:ind w:firstLine="720"/>
        <w:jc w:val="both"/>
        <w:rPr>
          <w:color w:val="000000"/>
          <w:szCs w:val="28"/>
          <w:shd w:val="clear" w:color="auto" w:fill="FFFFFF"/>
        </w:rPr>
      </w:pPr>
      <w:r>
        <w:rPr>
          <w:szCs w:val="28"/>
        </w:rPr>
        <w:t>Cán bộ hội hoạt động kiêm nhiệm với nhiệm vụ chuyên môn lớn, yêu cầu cao. Hội viên trong Chi hội thuộc 02 Văn phòng và 03 trung tâm, 01 Ban trực thuộc nên gặp nhiều khó khăn cho BCH Chi hội trong việc tham mưu, đề xuất và nắm bắt sự chỉ đạo của cấp uỷ các chi bộ.</w:t>
      </w:r>
    </w:p>
    <w:p>
      <w:pPr>
        <w:tabs>
          <w:tab w:val="left" w:pos="-67"/>
        </w:tabs>
        <w:spacing w:before="120" w:after="120" w:line="340" w:lineRule="exact"/>
        <w:ind w:firstLine="720"/>
        <w:jc w:val="both"/>
        <w:rPr>
          <w:szCs w:val="28"/>
          <w:lang w:val="vi-VN"/>
        </w:rPr>
      </w:pPr>
      <w:r>
        <w:rPr>
          <w:color w:val="000000"/>
          <w:szCs w:val="28"/>
          <w:shd w:val="clear" w:color="auto" w:fill="FFFFFF"/>
        </w:rPr>
        <w:t xml:space="preserve">Một số hội viên chưa thực sự tích cực, chủ động trong việc tham gia hoạt động hội. </w:t>
      </w:r>
      <w:r>
        <w:rPr>
          <w:szCs w:val="28"/>
        </w:rPr>
        <w:t>Việc xây dựng các mô hình, điển hình chưa có đầu tư thích đáng; việc xây dựng, nghiên cứu các chuyên đề chưa được quan tâ</w:t>
      </w:r>
      <w:r>
        <w:rPr>
          <w:bCs/>
          <w:iCs/>
          <w:szCs w:val="28"/>
          <w:lang w:val="vi-VN"/>
        </w:rPr>
        <w:t>m.</w:t>
      </w:r>
    </w:p>
    <w:p>
      <w:pPr>
        <w:tabs>
          <w:tab w:val="left" w:pos="-67"/>
        </w:tabs>
        <w:spacing w:before="120" w:after="120" w:line="340" w:lineRule="exact"/>
        <w:ind w:firstLine="720"/>
        <w:jc w:val="both"/>
        <w:rPr>
          <w:szCs w:val="28"/>
        </w:rPr>
      </w:pPr>
      <w:r>
        <w:rPr>
          <w:szCs w:val="28"/>
        </w:rPr>
        <w:t xml:space="preserve">Công tác tham mưu cấp ủy, chuyên môn và Tỉnh hội về công tác hoạt động có lúc chưa kịp thời, chưa thường xuyên. BCH chưa tham mưu được những chính sách đồng bộ để nâng cao chất lượng hoạt động của chi hội. </w:t>
      </w:r>
    </w:p>
    <w:p>
      <w:pPr>
        <w:tabs>
          <w:tab w:val="left" w:pos="-67"/>
        </w:tabs>
        <w:spacing w:before="120" w:after="120" w:line="340" w:lineRule="exact"/>
        <w:ind w:firstLine="720"/>
        <w:jc w:val="both"/>
        <w:rPr>
          <w:szCs w:val="28"/>
        </w:rPr>
      </w:pPr>
      <w:r>
        <w:rPr>
          <w:szCs w:val="28"/>
        </w:rPr>
        <w:t>Việc phối hợp hoạt động của BCH có lúc còn chưa tốt, phân công công việc có khi chưa hợp lý, hoạt động còn mang tính chất dàn trải, sự vụ; công tác kiểm tra chưa sát sao, dẫn đến hiệu quả một số công việc chưa cao.</w:t>
      </w:r>
    </w:p>
    <w:p>
      <w:pPr>
        <w:spacing w:before="120" w:after="120" w:line="340" w:lineRule="exact"/>
        <w:ind w:firstLine="720"/>
        <w:jc w:val="both"/>
      </w:pPr>
      <w:r>
        <w:t>Trên đây là báo cáo kiểm điểm sự lãnh đạo, chỉ đạo của Ban Chấp hành, Chi hội Luật gia Văn phòng Đoàn ĐBQH và HĐND tỉnh nhiệm kỳ 2019 - 2024, đề nghị Đại hội góp ý, cho ý kiến để Ban Chấp hành Chi hội Văn phòng Đoàn ĐBQH và HĐND tỉnh khóa mới tiếp thu, có hướng khắc phục, sửa chữa nhằm lãnh đạo, chỉ đạo thực hiện thắng lợi Nghị quyết Đại hội nhiệm kỳ 2024-2029./.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tc>
          <w:tcPr>
            <w:tcW w:w="4531" w:type="dxa"/>
          </w:tcPr>
          <w:p>
            <w:pPr>
              <w:spacing w:line="276" w:lineRule="auto"/>
              <w:ind w:right="-341"/>
              <w:jc w:val="both"/>
              <w:rPr>
                <w:sz w:val="26"/>
                <w:szCs w:val="26"/>
              </w:rPr>
            </w:pPr>
          </w:p>
        </w:tc>
        <w:tc>
          <w:tcPr>
            <w:tcW w:w="4531" w:type="dxa"/>
          </w:tcPr>
          <w:p>
            <w:pPr>
              <w:spacing w:line="276" w:lineRule="auto"/>
              <w:ind w:right="-341"/>
              <w:jc w:val="center"/>
              <w:rPr>
                <w:b/>
                <w:bCs/>
                <w:sz w:val="26"/>
                <w:szCs w:val="26"/>
              </w:rPr>
            </w:pPr>
            <w:r>
              <w:rPr>
                <w:b/>
                <w:bCs/>
                <w:sz w:val="26"/>
                <w:szCs w:val="26"/>
              </w:rPr>
              <w:t>TM. BAN CHẤP HÀNH</w:t>
            </w:r>
          </w:p>
          <w:p>
            <w:pPr>
              <w:spacing w:line="276" w:lineRule="auto"/>
              <w:ind w:right="-341"/>
              <w:jc w:val="center"/>
              <w:rPr>
                <w:sz w:val="26"/>
                <w:szCs w:val="26"/>
              </w:rPr>
            </w:pPr>
            <w:r>
              <w:rPr>
                <w:b/>
                <w:bCs/>
                <w:sz w:val="26"/>
                <w:szCs w:val="26"/>
              </w:rPr>
              <w:t>CHI HỘI TRƯỞNG</w:t>
            </w:r>
          </w:p>
        </w:tc>
      </w:tr>
    </w:tbl>
    <w:p>
      <w:pPr>
        <w:spacing w:line="276" w:lineRule="auto"/>
        <w:ind w:right="-341"/>
        <w:jc w:val="both"/>
      </w:pPr>
    </w:p>
    <w:sectPr>
      <w:head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622870"/>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7560"/>
    <w:multiLevelType w:val="hybridMultilevel"/>
    <w:tmpl w:val="F05A543C"/>
    <w:lvl w:ilvl="0" w:tplc="6C1E1B70">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667704"/>
    <w:multiLevelType w:val="hybridMultilevel"/>
    <w:tmpl w:val="C09CA202"/>
    <w:lvl w:ilvl="0" w:tplc="257677FE">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nsid w:val="09165292"/>
    <w:multiLevelType w:val="hybridMultilevel"/>
    <w:tmpl w:val="8800DD34"/>
    <w:lvl w:ilvl="0" w:tplc="F3A8244A">
      <w:start w:val="1"/>
      <w:numFmt w:val="decimal"/>
      <w:lvlText w:val="%1."/>
      <w:lvlJc w:val="left"/>
      <w:pPr>
        <w:ind w:left="840" w:hanging="8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C56F53"/>
    <w:multiLevelType w:val="hybridMultilevel"/>
    <w:tmpl w:val="701096D0"/>
    <w:lvl w:ilvl="0" w:tplc="7BFA9A06">
      <w:numFmt w:val="bullet"/>
      <w:lvlText w:val=""/>
      <w:lvlJc w:val="left"/>
      <w:pPr>
        <w:ind w:left="644" w:hanging="360"/>
      </w:pPr>
      <w:rPr>
        <w:rFonts w:ascii="Symbol" w:eastAsia="Calibri"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6305E48"/>
    <w:multiLevelType w:val="hybridMultilevel"/>
    <w:tmpl w:val="03F881FE"/>
    <w:lvl w:ilvl="0" w:tplc="F0EC27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E3766C0"/>
    <w:multiLevelType w:val="hybridMultilevel"/>
    <w:tmpl w:val="D7A694DA"/>
    <w:lvl w:ilvl="0" w:tplc="69F0AB9A">
      <w:start w:val="1"/>
      <w:numFmt w:val="decimal"/>
      <w:lvlText w:val="%1."/>
      <w:lvlJc w:val="left"/>
      <w:pPr>
        <w:ind w:left="796" w:hanging="360"/>
      </w:pPr>
      <w:rPr>
        <w:rFonts w:hint="default"/>
        <w:b/>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6">
    <w:nsid w:val="1F6B0970"/>
    <w:multiLevelType w:val="hybridMultilevel"/>
    <w:tmpl w:val="EC9CA5BA"/>
    <w:lvl w:ilvl="0" w:tplc="3DECD5AE">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7">
    <w:nsid w:val="2F231924"/>
    <w:multiLevelType w:val="hybridMultilevel"/>
    <w:tmpl w:val="17128F50"/>
    <w:lvl w:ilvl="0" w:tplc="A6D606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E238C6"/>
    <w:multiLevelType w:val="hybridMultilevel"/>
    <w:tmpl w:val="ABD8FB0A"/>
    <w:lvl w:ilvl="0" w:tplc="06040AD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89D1AFE"/>
    <w:multiLevelType w:val="hybridMultilevel"/>
    <w:tmpl w:val="7422B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5F53CB"/>
    <w:multiLevelType w:val="hybridMultilevel"/>
    <w:tmpl w:val="93328282"/>
    <w:lvl w:ilvl="0" w:tplc="50986C8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nsid w:val="454060C4"/>
    <w:multiLevelType w:val="hybridMultilevel"/>
    <w:tmpl w:val="34DE733C"/>
    <w:lvl w:ilvl="0" w:tplc="49B06B92">
      <w:start w:val="1"/>
      <w:numFmt w:val="decimal"/>
      <w:lvlText w:val="%1."/>
      <w:lvlJc w:val="left"/>
      <w:pPr>
        <w:ind w:left="796" w:hanging="360"/>
      </w:pPr>
      <w:rPr>
        <w:rFonts w:hint="default"/>
        <w:b/>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2">
    <w:nsid w:val="49917BE2"/>
    <w:multiLevelType w:val="hybridMultilevel"/>
    <w:tmpl w:val="B49075E0"/>
    <w:lvl w:ilvl="0" w:tplc="D07A5E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A76356B"/>
    <w:multiLevelType w:val="hybridMultilevel"/>
    <w:tmpl w:val="7A3A8BD6"/>
    <w:lvl w:ilvl="0" w:tplc="A1EA3B26">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F22573F"/>
    <w:multiLevelType w:val="hybridMultilevel"/>
    <w:tmpl w:val="695C523C"/>
    <w:lvl w:ilvl="0" w:tplc="38B6F04E">
      <w:start w:val="1"/>
      <w:numFmt w:val="upperRoman"/>
      <w:lvlText w:val="%1."/>
      <w:lvlJc w:val="left"/>
      <w:pPr>
        <w:ind w:left="1146" w:hanging="7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F9D57CC"/>
    <w:multiLevelType w:val="hybridMultilevel"/>
    <w:tmpl w:val="85266F16"/>
    <w:lvl w:ilvl="0" w:tplc="138AD6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071206"/>
    <w:multiLevelType w:val="hybridMultilevel"/>
    <w:tmpl w:val="38D22B78"/>
    <w:lvl w:ilvl="0" w:tplc="01903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26E2D95"/>
    <w:multiLevelType w:val="hybridMultilevel"/>
    <w:tmpl w:val="3FA2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9C5D63"/>
    <w:multiLevelType w:val="hybridMultilevel"/>
    <w:tmpl w:val="210E8B6A"/>
    <w:lvl w:ilvl="0" w:tplc="E22068DC">
      <w:start w:val="1"/>
      <w:numFmt w:val="decimal"/>
      <w:lvlText w:val="%1."/>
      <w:lvlJc w:val="left"/>
      <w:pPr>
        <w:ind w:left="1364" w:hanging="360"/>
      </w:pPr>
      <w:rPr>
        <w:rFonts w:hint="default"/>
      </w:rPr>
    </w:lvl>
    <w:lvl w:ilvl="1" w:tplc="04090019" w:tentative="1">
      <w:start w:val="1"/>
      <w:numFmt w:val="lowerLetter"/>
      <w:lvlText w:val="%2."/>
      <w:lvlJc w:val="left"/>
      <w:pPr>
        <w:ind w:left="3220" w:hanging="360"/>
      </w:pPr>
    </w:lvl>
    <w:lvl w:ilvl="2" w:tplc="0409001B" w:tentative="1">
      <w:start w:val="1"/>
      <w:numFmt w:val="lowerRoman"/>
      <w:lvlText w:val="%3."/>
      <w:lvlJc w:val="right"/>
      <w:pPr>
        <w:ind w:left="3940" w:hanging="180"/>
      </w:pPr>
    </w:lvl>
    <w:lvl w:ilvl="3" w:tplc="0409000F" w:tentative="1">
      <w:start w:val="1"/>
      <w:numFmt w:val="decimal"/>
      <w:lvlText w:val="%4."/>
      <w:lvlJc w:val="left"/>
      <w:pPr>
        <w:ind w:left="4660" w:hanging="360"/>
      </w:pPr>
    </w:lvl>
    <w:lvl w:ilvl="4" w:tplc="04090019" w:tentative="1">
      <w:start w:val="1"/>
      <w:numFmt w:val="lowerLetter"/>
      <w:lvlText w:val="%5."/>
      <w:lvlJc w:val="left"/>
      <w:pPr>
        <w:ind w:left="5380" w:hanging="360"/>
      </w:pPr>
    </w:lvl>
    <w:lvl w:ilvl="5" w:tplc="0409001B" w:tentative="1">
      <w:start w:val="1"/>
      <w:numFmt w:val="lowerRoman"/>
      <w:lvlText w:val="%6."/>
      <w:lvlJc w:val="right"/>
      <w:pPr>
        <w:ind w:left="6100" w:hanging="180"/>
      </w:pPr>
    </w:lvl>
    <w:lvl w:ilvl="6" w:tplc="0409000F" w:tentative="1">
      <w:start w:val="1"/>
      <w:numFmt w:val="decimal"/>
      <w:lvlText w:val="%7."/>
      <w:lvlJc w:val="left"/>
      <w:pPr>
        <w:ind w:left="6820" w:hanging="360"/>
      </w:pPr>
    </w:lvl>
    <w:lvl w:ilvl="7" w:tplc="04090019" w:tentative="1">
      <w:start w:val="1"/>
      <w:numFmt w:val="lowerLetter"/>
      <w:lvlText w:val="%8."/>
      <w:lvlJc w:val="left"/>
      <w:pPr>
        <w:ind w:left="7540" w:hanging="360"/>
      </w:pPr>
    </w:lvl>
    <w:lvl w:ilvl="8" w:tplc="0409001B" w:tentative="1">
      <w:start w:val="1"/>
      <w:numFmt w:val="lowerRoman"/>
      <w:lvlText w:val="%9."/>
      <w:lvlJc w:val="right"/>
      <w:pPr>
        <w:ind w:left="8260" w:hanging="180"/>
      </w:pPr>
    </w:lvl>
  </w:abstractNum>
  <w:num w:numId="1">
    <w:abstractNumId w:val="3"/>
  </w:num>
  <w:num w:numId="2">
    <w:abstractNumId w:val="14"/>
  </w:num>
  <w:num w:numId="3">
    <w:abstractNumId w:val="12"/>
  </w:num>
  <w:num w:numId="4">
    <w:abstractNumId w:val="13"/>
  </w:num>
  <w:num w:numId="5">
    <w:abstractNumId w:val="18"/>
  </w:num>
  <w:num w:numId="6">
    <w:abstractNumId w:val="2"/>
  </w:num>
  <w:num w:numId="7">
    <w:abstractNumId w:val="0"/>
  </w:num>
  <w:num w:numId="8">
    <w:abstractNumId w:val="1"/>
  </w:num>
  <w:num w:numId="9">
    <w:abstractNumId w:val="15"/>
  </w:num>
  <w:num w:numId="10">
    <w:abstractNumId w:val="7"/>
  </w:num>
  <w:num w:numId="11">
    <w:abstractNumId w:val="17"/>
  </w:num>
  <w:num w:numId="12">
    <w:abstractNumId w:val="9"/>
  </w:num>
  <w:num w:numId="13">
    <w:abstractNumId w:val="4"/>
  </w:num>
  <w:num w:numId="14">
    <w:abstractNumId w:val="10"/>
  </w:num>
  <w:num w:numId="15">
    <w:abstractNumId w:val="8"/>
  </w:num>
  <w:num w:numId="16">
    <w:abstractNumId w:val="11"/>
  </w:num>
  <w:num w:numId="17">
    <w:abstractNumId w:val="6"/>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visionView w:inkAnnotation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Calibri"/>
      <w:kern w:val="0"/>
      <w:szCs w:val="22"/>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rtejustify">
    <w:name w:val="rtejustify"/>
    <w:basedOn w:val="Normal"/>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Calibri"/>
      <w:kern w:val="0"/>
      <w:szCs w:val="22"/>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Calibri"/>
      <w:kern w:val="0"/>
      <w:szCs w:val="22"/>
      <w14:ligatures w14:val="none"/>
    </w:rPr>
  </w:style>
  <w:style w:type="paragraph" w:customStyle="1" w:styleId="Char">
    <w:name w:val="Char"/>
    <w:basedOn w:val="Normal"/>
    <w:autoRedefine/>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kern w:val="0"/>
      <w:sz w:val="16"/>
      <w:szCs w:val="16"/>
      <w14:ligatures w14:val="none"/>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Char Cha,Char Char,ft,ADB,Fußno,C"/>
    <w:basedOn w:val="Normal"/>
    <w:link w:val="FootnoteTextChar"/>
    <w:uiPriority w:val="99"/>
    <w:unhideWhenUsed/>
    <w:qFormat/>
    <w:pPr>
      <w:spacing w:after="200" w:line="276" w:lineRule="auto"/>
    </w:pPr>
    <w:rPr>
      <w:sz w:val="20"/>
      <w:szCs w:val="20"/>
      <w:lang w:val="x-none" w:eastAsia="x-none"/>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uiPriority w:val="99"/>
    <w:qFormat/>
    <w:rPr>
      <w:rFonts w:eastAsia="Calibri"/>
      <w:kern w:val="0"/>
      <w:sz w:val="20"/>
      <w:szCs w:val="20"/>
      <w:lang w:val="x-none" w:eastAsia="x-none"/>
      <w14:ligatures w14:val="none"/>
    </w:rPr>
  </w:style>
  <w:style w:type="character" w:styleId="FootnoteReference">
    <w:name w:val="footnote reference"/>
    <w:aliases w:val="Footnote,Footnote text,ftref,16 Point,Superscript 6 Point,BVI fnr,BearingPoint,fr,Footnote Text1,Error-Fußnotenzeichen5,Error-Fußnotenzeichen6,Ref,Footnote + Arial,10 pt,Black,(NECG) Footnote Reference,de nota al pie,Footnote Text11,R"/>
    <w:link w:val="CharChar1CharCharCharChar1CharCharCharCharCharCharCharCharCharCharCharCharCharCharCharChar"/>
    <w:uiPriority w:val="99"/>
    <w:unhideWhenUsed/>
    <w:qFormat/>
    <w:rPr>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pPr>
      <w:spacing w:after="160" w:line="240" w:lineRule="exact"/>
    </w:pPr>
    <w:rPr>
      <w:rFonts w:eastAsiaTheme="minorHAnsi"/>
      <w:kern w:val="2"/>
      <w:szCs w:val="28"/>
      <w:vertAlign w:val="superscript"/>
      <w14:ligatures w14:val="standardContextual"/>
    </w:rPr>
  </w:style>
  <w:style w:type="paragraph" w:customStyle="1" w:styleId="BodyText1">
    <w:name w:val="Body Text1"/>
    <w:basedOn w:val="Normal"/>
    <w:pPr>
      <w:spacing w:after="120"/>
      <w:ind w:firstLine="567"/>
      <w:jc w:val="both"/>
    </w:pPr>
    <w:rPr>
      <w:rFonts w:ascii=".VnTime" w:eastAsia="Times New Roman" w:hAnsi=".VnTime"/>
      <w:sz w:val="24"/>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веб) Знак,Обычный (веб) Знак1,Обычный (веб) Знак Знак"/>
    <w:basedOn w:val="Normal"/>
    <w:link w:val="NormalWebChar"/>
    <w:uiPriority w:val="99"/>
    <w:pPr>
      <w:spacing w:before="100" w:beforeAutospacing="1" w:after="100" w:afterAutospacing="1"/>
    </w:pPr>
    <w:rPr>
      <w:rFonts w:eastAsia="Times New Roman"/>
      <w:sz w:val="24"/>
      <w:szCs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Pr>
      <w:rFonts w:eastAsia="Times New Roman"/>
      <w:kern w:val="0"/>
      <w:sz w:val="24"/>
      <w:szCs w:val="24"/>
      <w:lang w:val="x-none" w:eastAsia="x-none"/>
      <w14:ligatures w14:val="none"/>
    </w:rPr>
  </w:style>
  <w:style w:type="character" w:customStyle="1" w:styleId="normal-h1">
    <w:name w:val="normal-h1"/>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Calibri"/>
      <w:kern w:val="0"/>
      <w:szCs w:val="22"/>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rtejustify">
    <w:name w:val="rtejustify"/>
    <w:basedOn w:val="Normal"/>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Calibri"/>
      <w:kern w:val="0"/>
      <w:szCs w:val="22"/>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Calibri"/>
      <w:kern w:val="0"/>
      <w:szCs w:val="22"/>
      <w14:ligatures w14:val="none"/>
    </w:rPr>
  </w:style>
  <w:style w:type="paragraph" w:customStyle="1" w:styleId="Char">
    <w:name w:val="Char"/>
    <w:basedOn w:val="Normal"/>
    <w:autoRedefine/>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kern w:val="0"/>
      <w:sz w:val="16"/>
      <w:szCs w:val="16"/>
      <w14:ligatures w14:val="none"/>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Char Cha,Char Char,ft,ADB,Fußno,C"/>
    <w:basedOn w:val="Normal"/>
    <w:link w:val="FootnoteTextChar"/>
    <w:uiPriority w:val="99"/>
    <w:unhideWhenUsed/>
    <w:qFormat/>
    <w:pPr>
      <w:spacing w:after="200" w:line="276" w:lineRule="auto"/>
    </w:pPr>
    <w:rPr>
      <w:sz w:val="20"/>
      <w:szCs w:val="20"/>
      <w:lang w:val="x-none" w:eastAsia="x-none"/>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uiPriority w:val="99"/>
    <w:qFormat/>
    <w:rPr>
      <w:rFonts w:eastAsia="Calibri"/>
      <w:kern w:val="0"/>
      <w:sz w:val="20"/>
      <w:szCs w:val="20"/>
      <w:lang w:val="x-none" w:eastAsia="x-none"/>
      <w14:ligatures w14:val="none"/>
    </w:rPr>
  </w:style>
  <w:style w:type="character" w:styleId="FootnoteReference">
    <w:name w:val="footnote reference"/>
    <w:aliases w:val="Footnote,Footnote text,ftref,16 Point,Superscript 6 Point,BVI fnr,BearingPoint,fr,Footnote Text1,Error-Fußnotenzeichen5,Error-Fußnotenzeichen6,Ref,Footnote + Arial,10 pt,Black,(NECG) Footnote Reference,de nota al pie,Footnote Text11,R"/>
    <w:link w:val="CharChar1CharCharCharChar1CharCharCharCharCharCharCharCharCharCharCharCharCharCharCharChar"/>
    <w:uiPriority w:val="99"/>
    <w:unhideWhenUsed/>
    <w:qFormat/>
    <w:rPr>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pPr>
      <w:spacing w:after="160" w:line="240" w:lineRule="exact"/>
    </w:pPr>
    <w:rPr>
      <w:rFonts w:eastAsiaTheme="minorHAnsi"/>
      <w:kern w:val="2"/>
      <w:szCs w:val="28"/>
      <w:vertAlign w:val="superscript"/>
      <w14:ligatures w14:val="standardContextual"/>
    </w:rPr>
  </w:style>
  <w:style w:type="paragraph" w:customStyle="1" w:styleId="BodyText1">
    <w:name w:val="Body Text1"/>
    <w:basedOn w:val="Normal"/>
    <w:pPr>
      <w:spacing w:after="120"/>
      <w:ind w:firstLine="567"/>
      <w:jc w:val="both"/>
    </w:pPr>
    <w:rPr>
      <w:rFonts w:ascii=".VnTime" w:eastAsia="Times New Roman" w:hAnsi=".VnTime"/>
      <w:sz w:val="24"/>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веб) Знак,Обычный (веб) Знак1,Обычный (веб) Знак Знак"/>
    <w:basedOn w:val="Normal"/>
    <w:link w:val="NormalWebChar"/>
    <w:uiPriority w:val="99"/>
    <w:pPr>
      <w:spacing w:before="100" w:beforeAutospacing="1" w:after="100" w:afterAutospacing="1"/>
    </w:pPr>
    <w:rPr>
      <w:rFonts w:eastAsia="Times New Roman"/>
      <w:sz w:val="24"/>
      <w:szCs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Pr>
      <w:rFonts w:eastAsia="Times New Roman"/>
      <w:kern w:val="0"/>
      <w:sz w:val="24"/>
      <w:szCs w:val="24"/>
      <w:lang w:val="x-none" w:eastAsia="x-none"/>
      <w14:ligatures w14:val="none"/>
    </w:rPr>
  </w:style>
  <w:style w:type="character" w:customStyle="1" w:styleId="normal-h1">
    <w:name w:val="normal-h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3</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73</cp:revision>
  <dcterms:created xsi:type="dcterms:W3CDTF">2024-04-23T07:48:00Z</dcterms:created>
  <dcterms:modified xsi:type="dcterms:W3CDTF">2024-07-31T07:33:00Z</dcterms:modified>
</cp:coreProperties>
</file>