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E31" w:rsidRDefault="00BE0E31">
      <w:pPr>
        <w:widowControl w:val="0"/>
        <w:ind w:firstLine="567"/>
        <w:jc w:val="both"/>
        <w:rPr>
          <w:color w:val="FF0000"/>
          <w:sz w:val="28"/>
          <w:szCs w:val="28"/>
          <w:lang w:val="vi-VN"/>
        </w:rPr>
      </w:pPr>
      <w:bookmarkStart w:id="0" w:name="_GoBack"/>
      <w:bookmarkEnd w:id="0"/>
    </w:p>
    <w:tbl>
      <w:tblPr>
        <w:tblW w:w="9462" w:type="dxa"/>
        <w:jc w:val="center"/>
        <w:tblLook w:val="01E0" w:firstRow="1" w:lastRow="1" w:firstColumn="1" w:lastColumn="1" w:noHBand="0" w:noVBand="0"/>
      </w:tblPr>
      <w:tblGrid>
        <w:gridCol w:w="3792"/>
        <w:gridCol w:w="5670"/>
      </w:tblGrid>
      <w:tr w:rsidR="00BE0E31">
        <w:trPr>
          <w:trHeight w:val="1481"/>
          <w:jc w:val="center"/>
        </w:trPr>
        <w:tc>
          <w:tcPr>
            <w:tcW w:w="3792" w:type="dxa"/>
            <w:shd w:val="clear" w:color="auto" w:fill="auto"/>
          </w:tcPr>
          <w:p w:rsidR="00BE0E31" w:rsidRDefault="00442F9E">
            <w:pPr>
              <w:jc w:val="center"/>
              <w:rPr>
                <w:sz w:val="26"/>
                <w:szCs w:val="26"/>
              </w:rPr>
            </w:pPr>
            <w:r>
              <w:rPr>
                <w:sz w:val="26"/>
                <w:szCs w:val="26"/>
              </w:rPr>
              <w:t>UBND TỈNH HÀ TĨNH</w:t>
            </w:r>
          </w:p>
          <w:p w:rsidR="00BE0E31" w:rsidRDefault="00442F9E">
            <w:pPr>
              <w:jc w:val="center"/>
              <w:rPr>
                <w:b/>
                <w:sz w:val="26"/>
                <w:szCs w:val="26"/>
              </w:rPr>
            </w:pPr>
            <w:r>
              <w:rPr>
                <w:b/>
                <w:noProof/>
                <w:sz w:val="26"/>
                <w:szCs w:val="26"/>
                <w:lang w:eastAsia="en-US"/>
              </w:rPr>
              <mc:AlternateContent>
                <mc:Choice Requires="wps">
                  <w:drawing>
                    <wp:anchor distT="0" distB="0" distL="114300" distR="114300" simplePos="0" relativeHeight="251664384" behindDoc="0" locked="0" layoutInCell="1" allowOverlap="1">
                      <wp:simplePos x="0" y="0"/>
                      <wp:positionH relativeFrom="column">
                        <wp:posOffset>842645</wp:posOffset>
                      </wp:positionH>
                      <wp:positionV relativeFrom="paragraph">
                        <wp:posOffset>187960</wp:posOffset>
                      </wp:positionV>
                      <wp:extent cx="553720" cy="0"/>
                      <wp:effectExtent l="6985" t="12065" r="10795" b="69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D889C71"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5pt,14.8pt" to="109.9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QnyEQ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"/>
                  </w:pict>
                </mc:Fallback>
              </mc:AlternateContent>
            </w:r>
            <w:r>
              <w:rPr>
                <w:b/>
                <w:sz w:val="26"/>
                <w:szCs w:val="26"/>
              </w:rPr>
              <w:t>SỞ Y TẾ</w:t>
            </w:r>
          </w:p>
          <w:p w:rsidR="00BE0E31" w:rsidRDefault="00BE0E31">
            <w:pPr>
              <w:jc w:val="center"/>
              <w:rPr>
                <w:sz w:val="4"/>
                <w:szCs w:val="26"/>
              </w:rPr>
            </w:pPr>
          </w:p>
          <w:p w:rsidR="00BE0E31" w:rsidRDefault="00442F9E">
            <w:pPr>
              <w:jc w:val="center"/>
              <w:rPr>
                <w:sz w:val="26"/>
                <w:szCs w:val="26"/>
              </w:rPr>
            </w:pPr>
            <w:r>
              <w:rPr>
                <w:sz w:val="26"/>
                <w:szCs w:val="26"/>
              </w:rPr>
              <w:t xml:space="preserve">    Số:           /BC-SYT</w:t>
            </w:r>
          </w:p>
          <w:p w:rsidR="00BE0E31" w:rsidRDefault="00BE0E31">
            <w:pPr>
              <w:jc w:val="center"/>
            </w:pPr>
          </w:p>
        </w:tc>
        <w:tc>
          <w:tcPr>
            <w:tcW w:w="5670" w:type="dxa"/>
            <w:shd w:val="clear" w:color="auto" w:fill="auto"/>
          </w:tcPr>
          <w:p w:rsidR="00BE0E31" w:rsidRDefault="00442F9E">
            <w:pPr>
              <w:jc w:val="center"/>
              <w:rPr>
                <w:b/>
                <w:sz w:val="26"/>
                <w:szCs w:val="26"/>
              </w:rPr>
            </w:pPr>
            <w:r>
              <w:rPr>
                <w:b/>
                <w:sz w:val="26"/>
                <w:szCs w:val="26"/>
              </w:rPr>
              <w:t xml:space="preserve">CỘNG HOÀ XÃ HỘI CHỦ NGHĨA VIỆT </w:t>
            </w:r>
            <w:smartTag w:uri="urn:schemas-microsoft-com:office:smarttags" w:element="place">
              <w:smartTag w:uri="urn:schemas-microsoft-com:office:smarttags" w:element="country-region">
                <w:r>
                  <w:rPr>
                    <w:b/>
                    <w:sz w:val="26"/>
                    <w:szCs w:val="26"/>
                  </w:rPr>
                  <w:t>NAM</w:t>
                </w:r>
              </w:smartTag>
            </w:smartTag>
          </w:p>
          <w:p w:rsidR="00BE0E31" w:rsidRDefault="00442F9E">
            <w:pPr>
              <w:jc w:val="center"/>
              <w:rPr>
                <w:b/>
                <w:sz w:val="26"/>
                <w:szCs w:val="26"/>
              </w:rPr>
            </w:pPr>
            <w:r>
              <w:rPr>
                <w:b/>
                <w:sz w:val="26"/>
                <w:szCs w:val="26"/>
              </w:rPr>
              <w:t>Độc lập - Tự do - Hạnh phúc</w:t>
            </w:r>
          </w:p>
          <w:p w:rsidR="00BE0E31" w:rsidRDefault="00442F9E">
            <w:pPr>
              <w:jc w:val="center"/>
              <w:rPr>
                <w:b/>
                <w:sz w:val="14"/>
                <w:szCs w:val="26"/>
              </w:rPr>
            </w:pPr>
            <w:r>
              <w:rPr>
                <w:noProof/>
                <w:sz w:val="26"/>
                <w:szCs w:val="26"/>
                <w:lang w:eastAsia="en-US"/>
              </w:rPr>
              <mc:AlternateContent>
                <mc:Choice Requires="wps">
                  <w:drawing>
                    <wp:anchor distT="0" distB="0" distL="114300" distR="114300" simplePos="0" relativeHeight="251663360" behindDoc="0" locked="0" layoutInCell="1" allowOverlap="1">
                      <wp:simplePos x="0" y="0"/>
                      <wp:positionH relativeFrom="column">
                        <wp:posOffset>951865</wp:posOffset>
                      </wp:positionH>
                      <wp:positionV relativeFrom="paragraph">
                        <wp:posOffset>17145</wp:posOffset>
                      </wp:positionV>
                      <wp:extent cx="1730375" cy="0"/>
                      <wp:effectExtent l="9525" t="12065" r="12700" b="698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496DD8B"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95pt,1.35pt" to="211.2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12EwIAACg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"/>
                  </w:pict>
                </mc:Fallback>
              </mc:AlternateContent>
            </w:r>
          </w:p>
          <w:p w:rsidR="00BE0E31" w:rsidRDefault="00442F9E">
            <w:pPr>
              <w:jc w:val="center"/>
              <w:rPr>
                <w:sz w:val="26"/>
                <w:szCs w:val="26"/>
              </w:rPr>
            </w:pPr>
            <w:r>
              <w:rPr>
                <w:sz w:val="26"/>
                <w:szCs w:val="26"/>
              </w:rPr>
              <w:t xml:space="preserve">    </w:t>
            </w:r>
            <w:r>
              <w:rPr>
                <w:i/>
                <w:sz w:val="26"/>
                <w:szCs w:val="26"/>
              </w:rPr>
              <w:t>Hà Tĩnh, ngày      tháng      năm 2024</w:t>
            </w:r>
          </w:p>
        </w:tc>
      </w:tr>
    </w:tbl>
    <w:p w:rsidR="00BE0E31" w:rsidRDefault="00442F9E">
      <w:pPr>
        <w:keepNext/>
        <w:jc w:val="center"/>
        <w:outlineLvl w:val="0"/>
        <w:rPr>
          <w:b/>
          <w:bCs/>
          <w:sz w:val="28"/>
        </w:rPr>
      </w:pPr>
      <w:r>
        <w:rPr>
          <w:b/>
          <w:bCs/>
          <w:sz w:val="28"/>
        </w:rPr>
        <w:t>BÁO CÁO</w:t>
      </w:r>
    </w:p>
    <w:p w:rsidR="00BE0E31" w:rsidRDefault="00442F9E">
      <w:pPr>
        <w:jc w:val="center"/>
        <w:rPr>
          <w:b/>
          <w:bCs/>
          <w:sz w:val="28"/>
        </w:rPr>
      </w:pPr>
      <w:r>
        <w:rPr>
          <w:b/>
          <w:noProof/>
          <w:sz w:val="28"/>
          <w:lang w:eastAsia="vi-VN"/>
        </w:rPr>
        <w:t>Công tác đảm bảo trật tự, an toàn giao thông từ năm 2009 đến năm 2023</w:t>
      </w:r>
    </w:p>
    <w:p w:rsidR="00BE0E31" w:rsidRDefault="00442F9E">
      <w:pPr>
        <w:spacing w:before="360"/>
        <w:jc w:val="center"/>
        <w:rPr>
          <w:b/>
          <w:bCs/>
          <w:sz w:val="28"/>
          <w:szCs w:val="28"/>
          <w:lang w:val="vi-VN"/>
        </w:rPr>
      </w:pPr>
      <w:r>
        <w:rPr>
          <w:b/>
          <w:bCs/>
          <w:noProof/>
          <w:sz w:val="28"/>
          <w:szCs w:val="28"/>
          <w:lang w:eastAsia="en-US"/>
        </w:rPr>
        <mc:AlternateContent>
          <mc:Choice Requires="wps">
            <w:drawing>
              <wp:anchor distT="0" distB="0" distL="114300" distR="114300" simplePos="0" relativeHeight="251665408" behindDoc="0" locked="0" layoutInCell="1" allowOverlap="1">
                <wp:simplePos x="0" y="0"/>
                <wp:positionH relativeFrom="column">
                  <wp:posOffset>1782335</wp:posOffset>
                </wp:positionH>
                <wp:positionV relativeFrom="paragraph">
                  <wp:posOffset>8089</wp:posOffset>
                </wp:positionV>
                <wp:extent cx="2186608" cy="7952"/>
                <wp:effectExtent l="0" t="0" r="23495" b="30480"/>
                <wp:wrapNone/>
                <wp:docPr id="4" name="Straight Connector 4"/>
                <wp:cNvGraphicFramePr/>
                <a:graphic xmlns:a="http://schemas.openxmlformats.org/drawingml/2006/main">
                  <a:graphicData uri="http://schemas.microsoft.com/office/word/2010/wordprocessingShape">
                    <wps:wsp>
                      <wps:cNvCnPr/>
                      <wps:spPr>
                        <a:xfrm flipV="1">
                          <a:off x="0" y="0"/>
                          <a:ext cx="2186608" cy="795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5422A896" id="Straight Connector 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40.35pt,.65pt" to="31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" strokecolor="#4472c4 [3204]" strokeweight=".5pt">
                <v:stroke joinstyle="miter"/>
              </v:line>
            </w:pict>
          </mc:Fallback>
        </mc:AlternateContent>
      </w:r>
      <w:r>
        <w:rPr>
          <w:b/>
          <w:bCs/>
          <w:sz w:val="28"/>
          <w:szCs w:val="28"/>
          <w:lang w:val="vi-VN"/>
        </w:rPr>
        <w:t>Phần I</w:t>
      </w:r>
    </w:p>
    <w:p w:rsidR="00BE0E31" w:rsidRDefault="00442F9E">
      <w:pPr>
        <w:jc w:val="center"/>
        <w:rPr>
          <w:b/>
          <w:bCs/>
          <w:sz w:val="28"/>
          <w:szCs w:val="28"/>
          <w:lang w:val="vi-VN"/>
        </w:rPr>
      </w:pPr>
      <w:r>
        <w:rPr>
          <w:b/>
          <w:bCs/>
          <w:sz w:val="28"/>
          <w:szCs w:val="28"/>
          <w:lang w:val="vi-VN"/>
        </w:rPr>
        <w:t>KHÁI QUÁT ĐẶC ĐIỂM TÌNH HÌNH CHUNG</w:t>
      </w:r>
    </w:p>
    <w:p w:rsidR="00BE0E31" w:rsidRDefault="00442F9E">
      <w:pPr>
        <w:spacing w:before="120" w:after="120"/>
        <w:ind w:firstLine="567"/>
        <w:jc w:val="both"/>
        <w:rPr>
          <w:sz w:val="28"/>
          <w:szCs w:val="28"/>
        </w:rPr>
      </w:pPr>
      <w:bookmarkStart w:id="1" w:name="_Hlk143262171"/>
      <w:r>
        <w:rPr>
          <w:sz w:val="28"/>
          <w:szCs w:val="28"/>
        </w:rPr>
        <w:t>Công tác bảo đảm trật tự an toàn giao thông (TTATGT) là một nội dung trọng tâm của công tác bảo đảm an ninh quốc gia, trật tự, an toàn xã hội, là trách nhiệm của cả hệ thống chính trị và toàn xã hội. Trong đó, bảo đảm TTATGT phải xác định lấy con người làm trung tâm, là đối tượng phục vụ, đảm bảo quyền và lợi ích hợp pháp của công dân, tổ chức, doanh nghiệp và người nước ngoài tham gia hoạt động giao thông trên lãnh thổ Việt Nam.</w:t>
      </w:r>
    </w:p>
    <w:p w:rsidR="00BE0E31" w:rsidRDefault="00442F9E">
      <w:pPr>
        <w:spacing w:before="120" w:after="120"/>
        <w:ind w:firstLine="567"/>
        <w:jc w:val="both"/>
        <w:rPr>
          <w:sz w:val="28"/>
          <w:szCs w:val="28"/>
        </w:rPr>
      </w:pPr>
      <w:r>
        <w:rPr>
          <w:sz w:val="28"/>
          <w:szCs w:val="28"/>
        </w:rPr>
        <w:t>Để tiếp tục làm giảm tai nạn giao thông, nhất là số thương vong do tai nạn giao thông, cần tăng cường áp dụng các thành tựu khoa học công nghệ nhằm đảm bảo TTATGT, chống ùn tắc, xây dựng, hoàn thiện thể chế, cơ chế, chính sách pháp luật liên quan đến công tác đảm bảo TTATGT. Cùng với đó, xây dựng văn hoá giao thông an toàn, đổi mới công tác tuyên truyền giáo dục pháp luật về đảm bảo TTATGT theo hướng lấy sự thay đổi hành vi của người tham gia giao thông làm tiêu chí đánh giá kết quả; nâng cao hiệu lực, hiệu quả thực thi pháp luật về đảm bảo TTATGT và khắc phục hậu quả tai nạn giao thông…</w:t>
      </w:r>
    </w:p>
    <w:bookmarkEnd w:id="1"/>
    <w:p w:rsidR="00BE0E31" w:rsidRDefault="00442F9E">
      <w:pPr>
        <w:widowControl w:val="0"/>
        <w:jc w:val="center"/>
        <w:rPr>
          <w:b/>
          <w:sz w:val="28"/>
          <w:szCs w:val="28"/>
          <w:lang w:val="it-IT"/>
        </w:rPr>
      </w:pPr>
      <w:r>
        <w:rPr>
          <w:b/>
          <w:sz w:val="28"/>
          <w:szCs w:val="28"/>
          <w:lang w:val="it-IT"/>
        </w:rPr>
        <w:t>Phần II</w:t>
      </w:r>
    </w:p>
    <w:p w:rsidR="00BE0E31" w:rsidRDefault="00442F9E">
      <w:pPr>
        <w:jc w:val="center"/>
        <w:rPr>
          <w:b/>
          <w:sz w:val="28"/>
          <w:szCs w:val="28"/>
          <w:lang w:val="it-IT"/>
        </w:rPr>
      </w:pPr>
      <w:r>
        <w:rPr>
          <w:b/>
          <w:sz w:val="28"/>
          <w:szCs w:val="28"/>
          <w:lang w:val="it-IT"/>
        </w:rPr>
        <w:t>TÌNH HÌNH, KẾT QUẢ THỰC HIỆN CHÍNH SÁCH, PHÁP LUẬT</w:t>
      </w:r>
    </w:p>
    <w:p w:rsidR="00BE0E31" w:rsidRDefault="00442F9E">
      <w:pPr>
        <w:jc w:val="center"/>
        <w:rPr>
          <w:b/>
          <w:sz w:val="28"/>
          <w:szCs w:val="28"/>
          <w:lang w:val="it-IT"/>
        </w:rPr>
      </w:pPr>
      <w:r>
        <w:rPr>
          <w:b/>
          <w:sz w:val="28"/>
          <w:szCs w:val="28"/>
          <w:lang w:val="it-IT"/>
        </w:rPr>
        <w:t>VỀ BẢO ĐẢM TRẬT TỰ, AN TOÀN GIAO THÔNG</w:t>
      </w:r>
    </w:p>
    <w:p w:rsidR="00BE0E31" w:rsidRDefault="00442F9E">
      <w:pPr>
        <w:spacing w:before="120" w:after="120"/>
        <w:ind w:firstLine="567"/>
        <w:jc w:val="both"/>
        <w:rPr>
          <w:b/>
          <w:sz w:val="28"/>
          <w:szCs w:val="28"/>
        </w:rPr>
      </w:pPr>
      <w:r>
        <w:rPr>
          <w:b/>
          <w:sz w:val="28"/>
          <w:szCs w:val="28"/>
          <w:lang w:val="it-IT"/>
        </w:rPr>
        <w:t xml:space="preserve">I. KẾT QUẢ TRIỂN KHAI THỰC HIỆN CHÍNH SÁCH, PHÁP LUẬT </w:t>
      </w:r>
      <w:r>
        <w:rPr>
          <w:b/>
          <w:sz w:val="28"/>
          <w:szCs w:val="28"/>
          <w:lang w:val="vi-VN"/>
        </w:rPr>
        <w:t>VỀ BẢO ĐẢM</w:t>
      </w:r>
      <w:r>
        <w:rPr>
          <w:b/>
          <w:sz w:val="28"/>
          <w:szCs w:val="28"/>
        </w:rPr>
        <w:t xml:space="preserve"> TTATGT</w:t>
      </w:r>
    </w:p>
    <w:p w:rsidR="00BE0E31" w:rsidRDefault="00442F9E">
      <w:pPr>
        <w:widowControl w:val="0"/>
        <w:spacing w:before="120" w:after="120"/>
        <w:ind w:firstLine="720"/>
        <w:contextualSpacing/>
        <w:jc w:val="both"/>
        <w:rPr>
          <w:sz w:val="28"/>
          <w:szCs w:val="28"/>
        </w:rPr>
      </w:pPr>
      <w:r>
        <w:rPr>
          <w:sz w:val="28"/>
          <w:szCs w:val="28"/>
        </w:rPr>
        <w:t xml:space="preserve">- Sở Y tế đã sao y, hướng dẫn thực hiện các Văn bản Nghị quyết, Chỉ thị của Chính phủ, của Ban An toàn giao thông Quốc gia và của tỉnh gửi cho các đơn vị trong Ngành; đồng thời ban hành văn bản đảm bảo công tác y tế trong các dịp lễ, tết, ký cam kết thực hiện pháp luật về an toàn giao thông. </w:t>
      </w:r>
    </w:p>
    <w:p w:rsidR="00BE0E31" w:rsidRDefault="00442F9E">
      <w:pPr>
        <w:widowControl w:val="0"/>
        <w:spacing w:before="120" w:after="120"/>
        <w:ind w:firstLine="720"/>
        <w:contextualSpacing/>
        <w:jc w:val="both"/>
        <w:rPr>
          <w:sz w:val="28"/>
          <w:szCs w:val="28"/>
        </w:rPr>
      </w:pPr>
      <w:r>
        <w:rPr>
          <w:sz w:val="28"/>
          <w:szCs w:val="28"/>
        </w:rPr>
        <w:t xml:space="preserve">- Tổ chức tuyên truyền giáo dục về ATGT thông và nguyên nhân, hậu quả tai nạn giao thông qua giao ban, chào cờ đầu tháng, sinh hoạt chi bộ, sinh hoạt các đoàn thể... Truyền thông qua các phương tiện: Cổng Thông tin điện tử Sở Y tế, Cổng thông tin điện tử các bệnh viện, phát thanh, thông báo nội bộ (bảng tin, panô, áp phích, khẩu hiệu…). Phổ biến đến toàn bộ cán bộ, công chức, viên chức về ý nghĩa nhân văn của hoạt động hưởng ứng theo với chủ đề “Nâng cao hiệu lực, hiệu quả thực thi pháp luật an toàn giao thông”. Qua đó, mỗi cán bộ công chức, viên chức, người lao động nâng cao nhận thức, ý thức chấp hành Luật Giao thông và thực hiện văn hóa giao thông khi tham gia giao thông. </w:t>
      </w:r>
    </w:p>
    <w:p w:rsidR="00BE0E31" w:rsidRDefault="00442F9E">
      <w:pPr>
        <w:widowControl w:val="0"/>
        <w:spacing w:before="120" w:after="120"/>
        <w:ind w:firstLine="720"/>
        <w:contextualSpacing/>
        <w:jc w:val="both"/>
        <w:rPr>
          <w:sz w:val="28"/>
          <w:szCs w:val="28"/>
        </w:rPr>
      </w:pPr>
      <w:r>
        <w:rPr>
          <w:sz w:val="28"/>
          <w:szCs w:val="28"/>
        </w:rPr>
        <w:lastRenderedPageBreak/>
        <w:t xml:space="preserve">- Các cơ sở y tế trên địa bàn tỉnh thực hiện tốt việc sơ, cấp cứu nạn nhân TNGT; kiện toàn các tổ cấp cứu ngoại viện để sẵn sàng triển khai các hoạt động cấp cứu khi có yêu cầu; thực hiện tốt công tác đảm bảo y tế trong dịp Tết Nguyên đán Nhâm Dần và Lễ hội xuân 2023, dịp nghỉ lễ 30/4, 01/5, 02/9… </w:t>
      </w:r>
    </w:p>
    <w:p w:rsidR="00BE0E31" w:rsidRDefault="00442F9E">
      <w:pPr>
        <w:widowControl w:val="0"/>
        <w:spacing w:before="120" w:after="120"/>
        <w:ind w:firstLine="720"/>
        <w:contextualSpacing/>
        <w:jc w:val="both"/>
        <w:rPr>
          <w:sz w:val="28"/>
          <w:szCs w:val="28"/>
        </w:rPr>
      </w:pPr>
      <w:r>
        <w:rPr>
          <w:sz w:val="28"/>
          <w:szCs w:val="28"/>
        </w:rPr>
        <w:t xml:space="preserve">- Chỉ đạo các đơn vị khám chữa bệnh thực hiện liên thông dữ liệu khám sức khỏe để cấp giấy phép lái xe theo đúng yêu cầu, nhiệm vụ trong Đề án 06 của tỉnh.  </w:t>
      </w:r>
    </w:p>
    <w:p w:rsidR="00BE0E31" w:rsidRDefault="00442F9E">
      <w:pPr>
        <w:widowControl w:val="0"/>
        <w:spacing w:before="120" w:after="120"/>
        <w:ind w:firstLine="720"/>
        <w:contextualSpacing/>
        <w:jc w:val="both"/>
        <w:rPr>
          <w:sz w:val="28"/>
          <w:szCs w:val="28"/>
        </w:rPr>
      </w:pPr>
      <w:r>
        <w:rPr>
          <w:sz w:val="28"/>
          <w:szCs w:val="28"/>
        </w:rPr>
        <w:t xml:space="preserve">- Tổ chức kiểm tra điều kiện, quy trình và việc thực hiện liên thông dữ liệu khám sức khỏe lái xe tại các cơ sở khám chữa bệnh đã công bố đủ điều kiện khám sức khỏe lái xe (đã có báo cáo riêng). </w:t>
      </w:r>
    </w:p>
    <w:p w:rsidR="00BE0E31" w:rsidRDefault="00442F9E">
      <w:pPr>
        <w:widowControl w:val="0"/>
        <w:spacing w:before="120" w:after="120"/>
        <w:ind w:firstLine="720"/>
        <w:contextualSpacing/>
        <w:jc w:val="both"/>
        <w:rPr>
          <w:sz w:val="28"/>
          <w:szCs w:val="28"/>
        </w:rPr>
      </w:pPr>
      <w:r>
        <w:rPr>
          <w:sz w:val="28"/>
          <w:szCs w:val="28"/>
        </w:rPr>
        <w:t>- Số cơ sở khám chữa bệnh công bố đủ điều kiện khám sức khoẻ 21 cơ sở, trong đó 19 cơ sở đủ điều kiện khám sức khỏe lái xe.</w:t>
      </w:r>
    </w:p>
    <w:p w:rsidR="00BE0E31" w:rsidRDefault="00442F9E">
      <w:pPr>
        <w:widowControl w:val="0"/>
        <w:spacing w:before="120" w:after="120"/>
        <w:ind w:firstLine="720"/>
        <w:contextualSpacing/>
        <w:jc w:val="both"/>
        <w:rPr>
          <w:sz w:val="28"/>
          <w:szCs w:val="28"/>
        </w:rPr>
      </w:pPr>
      <w:r>
        <w:rPr>
          <w:sz w:val="28"/>
          <w:szCs w:val="28"/>
        </w:rPr>
        <w:t>- Các cơ sở khám, chữa bệnh thường xuyên sẵn sàng các đội cấp cứu ngoại viện để yêu cầu kịp thời khi có tai nạn giao thông xảy ra trên địa bàn. Đồng thời, trang bị dụng cụ, thiết bị, thuốc thiết yếu cho các bệnh viện tuyến huyện, Trạm Y tế xã, phường dọc theo các tuyến quốc lộ và các tuyến đường tỉnh lộ đảm bảo cấp cứu tai nạn giao thông, sơ cứu tai nạn giao thông trên các quốc lộ trọng điểm.</w:t>
      </w:r>
    </w:p>
    <w:p w:rsidR="00BE0E31" w:rsidRDefault="00442F9E">
      <w:pPr>
        <w:widowControl w:val="0"/>
        <w:spacing w:before="120" w:after="120"/>
        <w:ind w:firstLine="720"/>
        <w:contextualSpacing/>
        <w:jc w:val="both"/>
        <w:rPr>
          <w:i/>
          <w:sz w:val="28"/>
          <w:szCs w:val="28"/>
        </w:rPr>
      </w:pPr>
      <w:r>
        <w:rPr>
          <w:i/>
          <w:sz w:val="28"/>
          <w:szCs w:val="28"/>
        </w:rPr>
        <w:t>(Số liệu công tác đảm bảo an toàn giao thông tại Phụ lục gửi kèm)</w:t>
      </w:r>
    </w:p>
    <w:p w:rsidR="00BE0E31" w:rsidRDefault="00442F9E">
      <w:pPr>
        <w:widowControl w:val="0"/>
        <w:spacing w:before="120" w:after="120"/>
        <w:ind w:firstLine="720"/>
        <w:jc w:val="both"/>
        <w:rPr>
          <w:i/>
          <w:sz w:val="28"/>
          <w:szCs w:val="28"/>
        </w:rPr>
      </w:pPr>
      <w:r>
        <w:rPr>
          <w:i/>
          <w:sz w:val="28"/>
          <w:szCs w:val="28"/>
        </w:rPr>
        <w:t>-</w:t>
      </w:r>
      <w:r>
        <w:rPr>
          <w:sz w:val="28"/>
          <w:szCs w:val="28"/>
        </w:rPr>
        <w:t xml:space="preserve"> Hàng năm, Sở Y tế đã lãnh đạo, chỉ đạo các đơn vị trong ngành tuyên truyền, phổ biến, quán triệt đến tận cán bộ, công chức, viên chức và người lao động thực hiện nghiêm túc các chính sách, pháp luật về đảm bảo trật tự an toàn giao thông, ban hành nhiều văn bản chỉ đạo thực hiện công tác đảm bảo an toàn giao thông.</w:t>
      </w:r>
    </w:p>
    <w:p w:rsidR="00BE0E31" w:rsidRDefault="00442F9E">
      <w:pPr>
        <w:pStyle w:val="NormalWeb"/>
        <w:spacing w:before="120" w:beforeAutospacing="0" w:after="120" w:afterAutospacing="0"/>
        <w:ind w:firstLine="567"/>
        <w:jc w:val="both"/>
        <w:rPr>
          <w:rFonts w:eastAsia="MS Mincho"/>
          <w:sz w:val="28"/>
          <w:szCs w:val="28"/>
          <w:lang w:val="it-IT" w:eastAsia="ja-JP"/>
        </w:rPr>
      </w:pPr>
      <w:bookmarkStart w:id="2" w:name="_Hlk80887412"/>
      <w:r>
        <w:rPr>
          <w:rFonts w:eastAsia="MS Mincho"/>
          <w:sz w:val="28"/>
          <w:szCs w:val="28"/>
          <w:lang w:val="it-IT" w:eastAsia="ja-JP"/>
        </w:rPr>
        <w:t xml:space="preserve">- Hiện 18/18 đơn vị ngành y tế đã xây dựng kế hoạch đảm bảo ATGT và tổ chức cam kết chấp hành quy định của pháp luật về trật tự ATGT trong ngành y tế.  100% cán bộ công chức, viên chức ngành y tế đã ký cam kết chấp hành quy định của pháp luật về trật tự ATGT trong ngành y tế. Các đơn vị khám chữa bệnh cơ bản đảm bảo đủ cơ số thuốc, vật tư y tế, trang thiết bị máy móc phục vụ công tác cấp cứu, khám, chữa bệnh do tai nạn giao thông cho nhân dân trên địa bàn. Các Trung tâm Cấp cứu và Vận chuyển đảm nhiệm tốt công tác cấp cứu, vận chuyển kịp thời cho nạn nhân TNGT trên địa bàn khi có yêu cầu. Các bệnh viện, cơ sở y tế kiện toàn các tổ cấp cứu ngoại viện, phương tiện, sẵn sàng hỗ trợ vận chuyển cấp cứu khi có thảm họa, tai nạn giao thông hàng loạt xảy ra trên địa bàn; </w:t>
      </w:r>
    </w:p>
    <w:p w:rsidR="00BE0E31" w:rsidRDefault="00442F9E">
      <w:pPr>
        <w:pStyle w:val="NormalWeb"/>
        <w:spacing w:before="120" w:beforeAutospacing="0" w:after="120" w:afterAutospacing="0"/>
        <w:ind w:firstLine="567"/>
        <w:jc w:val="both"/>
        <w:rPr>
          <w:sz w:val="28"/>
          <w:szCs w:val="28"/>
          <w:shd w:val="clear" w:color="auto" w:fill="FFFFFF"/>
        </w:rPr>
      </w:pPr>
      <w:r>
        <w:rPr>
          <w:sz w:val="28"/>
          <w:szCs w:val="28"/>
          <w:shd w:val="clear" w:color="auto" w:fill="FFFFFF"/>
        </w:rPr>
        <w:t>- Luôn sẵn sàng phối hợp cùng cơ quan điều tra trong điều tra vụ tai nạn giao thông và các</w:t>
      </w:r>
      <w:r>
        <w:rPr>
          <w:sz w:val="28"/>
          <w:szCs w:val="28"/>
        </w:rPr>
        <w:t xml:space="preserve"> vi phạm pháp luật về giao thông có liên quan; thực</w:t>
      </w:r>
      <w:r>
        <w:rPr>
          <w:sz w:val="28"/>
          <w:szCs w:val="28"/>
          <w:shd w:val="clear" w:color="auto" w:fill="FFFFFF"/>
        </w:rPr>
        <w:t xml:space="preserve"> hiện phối hợp tìm kiếm cứu nạn sự cố, tai nạn giao thông.</w:t>
      </w:r>
    </w:p>
    <w:p w:rsidR="00BE0E31" w:rsidRDefault="00442F9E">
      <w:pPr>
        <w:spacing w:before="120" w:after="120"/>
        <w:ind w:firstLine="567"/>
        <w:jc w:val="both"/>
        <w:rPr>
          <w:b/>
          <w:sz w:val="28"/>
          <w:szCs w:val="28"/>
          <w:lang w:val="it-IT"/>
        </w:rPr>
      </w:pPr>
      <w:r>
        <w:rPr>
          <w:b/>
          <w:sz w:val="28"/>
          <w:szCs w:val="28"/>
          <w:lang w:val="it-IT"/>
        </w:rPr>
        <w:t>II. ĐÁNH GIÁ CHUNG</w:t>
      </w:r>
    </w:p>
    <w:p w:rsidR="00BE0E31" w:rsidRDefault="00442F9E">
      <w:pPr>
        <w:spacing w:before="120" w:after="120"/>
        <w:ind w:firstLine="567"/>
        <w:jc w:val="both"/>
        <w:rPr>
          <w:b/>
          <w:sz w:val="28"/>
          <w:szCs w:val="28"/>
          <w:lang w:val="it-IT"/>
        </w:rPr>
      </w:pPr>
      <w:r>
        <w:rPr>
          <w:b/>
          <w:sz w:val="28"/>
          <w:szCs w:val="28"/>
          <w:lang w:val="it-IT"/>
        </w:rPr>
        <w:t>1. Hạn chế, bất cập chủ yếu</w:t>
      </w:r>
    </w:p>
    <w:p w:rsidR="00BE0E31" w:rsidRDefault="00442F9E">
      <w:pPr>
        <w:widowControl w:val="0"/>
        <w:spacing w:before="120" w:after="120"/>
        <w:ind w:firstLine="720"/>
        <w:contextualSpacing/>
        <w:jc w:val="both"/>
        <w:rPr>
          <w:bCs/>
          <w:sz w:val="28"/>
          <w:szCs w:val="28"/>
        </w:rPr>
      </w:pPr>
      <w:r>
        <w:rPr>
          <w:bCs/>
          <w:sz w:val="28"/>
          <w:szCs w:val="28"/>
        </w:rPr>
        <w:t xml:space="preserve">- Việc triển khai các hoạt động tuyên truyền pháp luật về an toàn giao thông có thời điểm chưa đảm bảo thường xuyên, liên tục, hình thức tuyên truyền </w:t>
      </w:r>
      <w:r>
        <w:rPr>
          <w:bCs/>
          <w:sz w:val="28"/>
          <w:szCs w:val="28"/>
        </w:rPr>
        <w:lastRenderedPageBreak/>
        <w:t>chưa phong phú, cuốn hút.</w:t>
      </w:r>
    </w:p>
    <w:p w:rsidR="00BE0E31" w:rsidRDefault="00442F9E">
      <w:pPr>
        <w:widowControl w:val="0"/>
        <w:spacing w:before="120" w:after="120"/>
        <w:ind w:firstLine="720"/>
        <w:contextualSpacing/>
        <w:jc w:val="both"/>
        <w:rPr>
          <w:bCs/>
          <w:sz w:val="28"/>
          <w:szCs w:val="28"/>
        </w:rPr>
      </w:pPr>
      <w:r>
        <w:rPr>
          <w:bCs/>
          <w:sz w:val="28"/>
          <w:szCs w:val="28"/>
        </w:rPr>
        <w:t xml:space="preserve">- Nguồn lực bố trí cho việc thực hiện nhiệm vụ tuyên truyền pháp luật về an toàn giao thông còn hạn chế. </w:t>
      </w:r>
    </w:p>
    <w:p w:rsidR="00BE0E31" w:rsidRDefault="00442F9E">
      <w:pPr>
        <w:spacing w:before="120" w:after="120"/>
        <w:ind w:firstLine="567"/>
        <w:jc w:val="both"/>
        <w:rPr>
          <w:b/>
          <w:bCs/>
          <w:sz w:val="28"/>
          <w:szCs w:val="28"/>
          <w:lang w:val="it-IT"/>
        </w:rPr>
      </w:pPr>
      <w:r>
        <w:rPr>
          <w:b/>
          <w:bCs/>
          <w:sz w:val="28"/>
          <w:szCs w:val="28"/>
          <w:lang w:val="it-IT"/>
        </w:rPr>
        <w:t>2. Nguyên nhân của những hạn chế, bất cập</w:t>
      </w:r>
    </w:p>
    <w:p w:rsidR="00BE0E31" w:rsidRDefault="00442F9E">
      <w:pPr>
        <w:widowControl w:val="0"/>
        <w:spacing w:before="120" w:after="120"/>
        <w:ind w:firstLine="720"/>
        <w:contextualSpacing/>
        <w:jc w:val="both"/>
        <w:rPr>
          <w:sz w:val="28"/>
          <w:szCs w:val="28"/>
          <w:lang w:val="nl-NL"/>
        </w:rPr>
      </w:pPr>
      <w:r>
        <w:rPr>
          <w:sz w:val="28"/>
          <w:szCs w:val="28"/>
          <w:lang w:val="nl-NL"/>
        </w:rPr>
        <w:t xml:space="preserve">- Các văn bản pháp luật được ban hành nhiều, nội dung pháp luật cần tuyên truyền cho cán bộ và nhân dân tương đối lớn nên phải bố trí các hoạt động tuyên truyền hợp lý, đảm bảo tuyên truyền được nhiều văn bản pháp luật cho Nhân dân. </w:t>
      </w:r>
    </w:p>
    <w:p w:rsidR="00BE0E31" w:rsidRDefault="00442F9E">
      <w:pPr>
        <w:widowControl w:val="0"/>
        <w:spacing w:before="120" w:after="120"/>
        <w:ind w:firstLine="720"/>
        <w:contextualSpacing/>
        <w:jc w:val="both"/>
        <w:rPr>
          <w:sz w:val="28"/>
          <w:szCs w:val="28"/>
          <w:lang w:val="nl-NL"/>
        </w:rPr>
      </w:pPr>
      <w:r>
        <w:rPr>
          <w:sz w:val="28"/>
          <w:szCs w:val="28"/>
          <w:lang w:val="nl-NL"/>
        </w:rPr>
        <w:t xml:space="preserve">- Kinh phí đảm bảo cho công tác PBGDPL về an toàn giao thông còn hạn chế nên ảnh hưởng đến việc triển khai các hoạt động, chủ yếu phải lồng ghép. </w:t>
      </w:r>
    </w:p>
    <w:p w:rsidR="00BE0E31" w:rsidRDefault="00442F9E">
      <w:pPr>
        <w:widowControl w:val="0"/>
        <w:spacing w:before="120" w:after="120"/>
        <w:ind w:firstLine="567"/>
        <w:jc w:val="both"/>
        <w:rPr>
          <w:b/>
          <w:sz w:val="28"/>
          <w:szCs w:val="28"/>
          <w:lang w:val="it-IT"/>
        </w:rPr>
      </w:pPr>
      <w:r>
        <w:rPr>
          <w:b/>
          <w:sz w:val="28"/>
          <w:szCs w:val="28"/>
          <w:lang w:val="it-IT"/>
        </w:rPr>
        <w:t>3. Trách nhiệm của cơ quan, tổ chức, cá nhân</w:t>
      </w:r>
    </w:p>
    <w:p w:rsidR="00BE0E31" w:rsidRDefault="00442F9E">
      <w:pPr>
        <w:widowControl w:val="0"/>
        <w:spacing w:before="120" w:after="120"/>
        <w:ind w:firstLine="567"/>
        <w:jc w:val="both"/>
        <w:rPr>
          <w:sz w:val="28"/>
          <w:szCs w:val="28"/>
          <w:lang w:val="it-IT"/>
        </w:rPr>
      </w:pPr>
      <w:r>
        <w:rPr>
          <w:sz w:val="28"/>
          <w:szCs w:val="28"/>
        </w:rPr>
        <w:t>Thời gian quan, ngành Y tế cũng tuyên truyền nâng cao nhận thức, ý thức trách nhiệm, tự giác chấp hành Pháp luật về trật tự ATGT đến cán bộ, viên chức, người lao động trong ngành y tế và cộng đồng, góp phần thực hiện có hiệu quả hoạt động đảm bảo trật tự ATGT trên địa bàn. Các tổ chức Công đoàn, Đoàn thanh niên, các đoàn thể của đơn vị phối hợp tổ chức tuyên truyền, vận động cán bộ, viên chức gương mẫu chấp hành tốt quy định của Pháp luật về ATGT, các quy định về nồng độ cồn, đội mũ bảo hiểm... khi điều khiển phương tiện tham gia giao thông; thực hiện tốt công tác giải tỏa hành lang ATGT và vệ sinh môi trường tại nơi cư trú.</w:t>
      </w:r>
    </w:p>
    <w:p w:rsidR="00BE0E31" w:rsidRDefault="00442F9E">
      <w:pPr>
        <w:widowControl w:val="0"/>
        <w:spacing w:before="120" w:after="120"/>
        <w:ind w:firstLine="567"/>
        <w:jc w:val="both"/>
        <w:rPr>
          <w:sz w:val="28"/>
          <w:szCs w:val="28"/>
          <w:lang w:val="it-IT"/>
        </w:rPr>
      </w:pPr>
      <w:r>
        <w:rPr>
          <w:sz w:val="28"/>
          <w:szCs w:val="28"/>
        </w:rPr>
        <w:t>Chỉ đạo các đơn vị trong ngành tiếp tục tổ chức triển khai việc tiếp nhận thông tin, vận chuyển, sơ cứu và cấp cứu, điều trị kịp thời các trường hợp bị tai nạn giao thông xảy ra trên địa bàn tại các cơ sở y tế; Trung tâm Cấp cứu và Vận chuyển 115 - Bệnh viện đa khoa tỉnh phối hợp tốt với lực lượng Cảnh sát giao thông và người dân trong việc cấp cứu ban đầu về chấn thương do tai nạn giao thông xảy ra trên địa bàn. Chỉ đạo các cơ sở y tế triển khai thực hiện việc khám và phân loại sức khỏe cho người lái xe đảm bảo theo đúng các quy định; tăng cường công tác giám sát các cơ sở y tế trong việc khám sức khỏe cho người lái xe.</w:t>
      </w:r>
    </w:p>
    <w:p w:rsidR="00BE0E31" w:rsidRDefault="00442F9E">
      <w:pPr>
        <w:widowControl w:val="0"/>
        <w:spacing w:before="120" w:after="120"/>
        <w:jc w:val="center"/>
        <w:rPr>
          <w:b/>
          <w:sz w:val="28"/>
          <w:szCs w:val="28"/>
          <w:lang w:val="it-IT" w:eastAsia="en-US"/>
        </w:rPr>
      </w:pPr>
      <w:bookmarkStart w:id="3" w:name="_Hlk144284432"/>
      <w:r>
        <w:rPr>
          <w:b/>
          <w:bCs/>
          <w:iCs/>
          <w:sz w:val="28"/>
          <w:szCs w:val="28"/>
          <w:lang w:val="it-IT"/>
        </w:rPr>
        <w:t>Phần III</w:t>
      </w:r>
    </w:p>
    <w:p w:rsidR="00BE0E31" w:rsidRDefault="00442F9E">
      <w:pPr>
        <w:widowControl w:val="0"/>
        <w:spacing w:before="120" w:after="120"/>
        <w:jc w:val="center"/>
        <w:rPr>
          <w:b/>
          <w:bCs/>
          <w:iCs/>
          <w:sz w:val="28"/>
          <w:szCs w:val="28"/>
          <w:lang w:val="it-IT"/>
        </w:rPr>
      </w:pPr>
      <w:r>
        <w:rPr>
          <w:b/>
          <w:bCs/>
          <w:iCs/>
          <w:sz w:val="28"/>
          <w:szCs w:val="28"/>
          <w:lang w:val="it-IT"/>
        </w:rPr>
        <w:t>GIẢI PHÁP, KIẾN NGHỊ</w:t>
      </w:r>
    </w:p>
    <w:p w:rsidR="00BE0E31" w:rsidRDefault="00442F9E">
      <w:pPr>
        <w:widowControl w:val="0"/>
        <w:spacing w:before="120" w:after="120"/>
        <w:ind w:firstLine="567"/>
        <w:jc w:val="both"/>
        <w:rPr>
          <w:b/>
          <w:bCs/>
          <w:iCs/>
          <w:sz w:val="28"/>
          <w:szCs w:val="28"/>
          <w:lang w:val="it-IT"/>
        </w:rPr>
      </w:pPr>
      <w:r>
        <w:rPr>
          <w:b/>
          <w:bCs/>
          <w:iCs/>
          <w:sz w:val="28"/>
          <w:szCs w:val="28"/>
          <w:lang w:val="it-IT"/>
        </w:rPr>
        <w:t>I. GIẢI PHÁP CHỦ YẾU</w:t>
      </w:r>
    </w:p>
    <w:p w:rsidR="00BE0E31" w:rsidRDefault="00442F9E">
      <w:pPr>
        <w:spacing w:before="120" w:after="120"/>
        <w:ind w:firstLine="720"/>
        <w:jc w:val="both"/>
        <w:rPr>
          <w:sz w:val="28"/>
          <w:szCs w:val="28"/>
        </w:rPr>
      </w:pPr>
      <w:r>
        <w:rPr>
          <w:sz w:val="28"/>
          <w:szCs w:val="28"/>
        </w:rPr>
        <w:t xml:space="preserve">Tiếp tục triển khai thực hiện các nhiệm vụ do Bộ Y tế giao, các nhiệm vụ và giải pháp đã được đề ra trong kế hoạch hành động của UBND tỉnh, Ban An toàn giao thông tỉnh và các văn bản chỉ đạo khác của các cấp, các ngành về ATGT. Sở Y tế tập trung lãnh đạo, chỉ đạo vào các nhóm giải pháp chủ yếu sau: </w:t>
      </w:r>
    </w:p>
    <w:p w:rsidR="00BE0E31" w:rsidRDefault="00442F9E">
      <w:pPr>
        <w:spacing w:before="120" w:after="120"/>
        <w:ind w:firstLine="720"/>
        <w:jc w:val="both"/>
        <w:rPr>
          <w:sz w:val="28"/>
          <w:szCs w:val="28"/>
        </w:rPr>
      </w:pPr>
      <w:r>
        <w:rPr>
          <w:sz w:val="28"/>
          <w:szCs w:val="28"/>
        </w:rPr>
        <w:t>- Tăng cường sự lãnh đạo, chỉ đạo thường xuyên của các cấp ủy Đả</w:t>
      </w:r>
      <w:r w:rsidR="00CF3F4C">
        <w:rPr>
          <w:sz w:val="28"/>
          <w:szCs w:val="28"/>
        </w:rPr>
        <w:t>ng, l</w:t>
      </w:r>
      <w:r w:rsidR="00CF3F4C" w:rsidRPr="00CF3F4C">
        <w:rPr>
          <w:sz w:val="28"/>
          <w:szCs w:val="28"/>
        </w:rPr>
        <w:t>ãnh</w:t>
      </w:r>
      <w:r w:rsidR="00CF3F4C">
        <w:rPr>
          <w:sz w:val="28"/>
          <w:szCs w:val="28"/>
        </w:rPr>
        <w:t xml:space="preserve"> </w:t>
      </w:r>
      <w:r w:rsidR="00CF3F4C" w:rsidRPr="00CF3F4C">
        <w:rPr>
          <w:sz w:val="28"/>
          <w:szCs w:val="28"/>
        </w:rPr>
        <w:t>đạo</w:t>
      </w:r>
      <w:r w:rsidR="00CF3F4C">
        <w:rPr>
          <w:sz w:val="28"/>
          <w:szCs w:val="28"/>
        </w:rPr>
        <w:t xml:space="preserve"> c</w:t>
      </w:r>
      <w:r w:rsidR="00CF3F4C" w:rsidRPr="00CF3F4C">
        <w:rPr>
          <w:sz w:val="28"/>
          <w:szCs w:val="28"/>
        </w:rPr>
        <w:t>ác</w:t>
      </w:r>
      <w:r w:rsidR="00CF3F4C">
        <w:rPr>
          <w:sz w:val="28"/>
          <w:szCs w:val="28"/>
        </w:rPr>
        <w:t xml:space="preserve"> </w:t>
      </w:r>
      <w:r w:rsidR="00CF3F4C" w:rsidRPr="00CF3F4C">
        <w:rPr>
          <w:sz w:val="28"/>
          <w:szCs w:val="28"/>
        </w:rPr>
        <w:t>đơ</w:t>
      </w:r>
      <w:r w:rsidR="00CF3F4C">
        <w:rPr>
          <w:sz w:val="28"/>
          <w:szCs w:val="28"/>
        </w:rPr>
        <w:t>n v</w:t>
      </w:r>
      <w:r w:rsidR="00CF3F4C" w:rsidRPr="00CF3F4C">
        <w:rPr>
          <w:sz w:val="28"/>
          <w:szCs w:val="28"/>
        </w:rPr>
        <w:t>ị</w:t>
      </w:r>
      <w:r w:rsidR="00CF3F4C">
        <w:rPr>
          <w:sz w:val="28"/>
          <w:szCs w:val="28"/>
        </w:rPr>
        <w:t xml:space="preserve"> trong ng</w:t>
      </w:r>
      <w:r w:rsidR="00CF3F4C" w:rsidRPr="00CF3F4C">
        <w:rPr>
          <w:sz w:val="28"/>
          <w:szCs w:val="28"/>
        </w:rPr>
        <w:t>ành</w:t>
      </w:r>
      <w:r>
        <w:rPr>
          <w:sz w:val="28"/>
          <w:szCs w:val="28"/>
        </w:rPr>
        <w:t xml:space="preserve">, nâng cao năng lực và hiệu lực quản lý nhà nước về ATGT; nâng cao trách nhiệm cá nhân đối với cán bộ, công chức, viên chức ngành Y tế trong công tác bảo đảm ATGT. </w:t>
      </w:r>
    </w:p>
    <w:p w:rsidR="00BE0E31" w:rsidRDefault="00442F9E">
      <w:pPr>
        <w:spacing w:before="120" w:after="120"/>
        <w:ind w:firstLine="720"/>
        <w:jc w:val="both"/>
        <w:rPr>
          <w:sz w:val="28"/>
          <w:szCs w:val="28"/>
        </w:rPr>
      </w:pPr>
      <w:r>
        <w:rPr>
          <w:sz w:val="28"/>
          <w:szCs w:val="28"/>
        </w:rPr>
        <w:lastRenderedPageBreak/>
        <w:t xml:space="preserve">- Tiếp tục quán triệt, triển khai thực hiện Chỉ thị số 18-CT/TW ngày 04/9/2012 của Ban Bí thư Trung ương Đảng về tăng cường sự lãnh đạo của Đảng đối với công tác bảo đảm trật tự, an toàn giao thông đường bộ, đường sắt, đường thủy nội địa và khắc phục ùn tắt giao thông. </w:t>
      </w:r>
    </w:p>
    <w:p w:rsidR="00BE0E31" w:rsidRDefault="00442F9E">
      <w:pPr>
        <w:spacing w:before="120" w:after="120"/>
        <w:ind w:firstLine="720"/>
        <w:jc w:val="both"/>
        <w:rPr>
          <w:sz w:val="28"/>
          <w:szCs w:val="28"/>
        </w:rPr>
      </w:pPr>
      <w:r>
        <w:rPr>
          <w:sz w:val="28"/>
          <w:szCs w:val="28"/>
        </w:rPr>
        <w:t xml:space="preserve">- Đẩy mạnh tuyên truyền, phổ biến các quy định của pháp luật về công tác bảo đảm trật tự an toàn giao thông đến cán bộ, đảng viên, viên chức và người lao động, bệnh nhân và gia đình bệnh nhân nhằm nâng cao tinh thần trách nhiệm, ý thức tự giác chấp hành pháp luật khi tham gia giao thông, đẩy mạnh xây dựng văn hóa giao thông, tích cực tuyên truyền sâu rộng trên các phương tiện truyền thông, loa phát thanh của các đơn vị. </w:t>
      </w:r>
    </w:p>
    <w:p w:rsidR="00BE0E31" w:rsidRDefault="00CF3F4C" w:rsidP="00CF3F4C">
      <w:pPr>
        <w:spacing w:before="120" w:after="120"/>
        <w:ind w:firstLine="720"/>
        <w:rPr>
          <w:sz w:val="28"/>
          <w:szCs w:val="28"/>
        </w:rPr>
      </w:pPr>
      <w:r>
        <w:rPr>
          <w:sz w:val="28"/>
          <w:szCs w:val="28"/>
        </w:rPr>
        <w:t>- Ti</w:t>
      </w:r>
      <w:r w:rsidRPr="00CF3F4C">
        <w:rPr>
          <w:sz w:val="28"/>
          <w:szCs w:val="28"/>
        </w:rPr>
        <w:t>ếp</w:t>
      </w:r>
      <w:r>
        <w:rPr>
          <w:sz w:val="28"/>
          <w:szCs w:val="28"/>
        </w:rPr>
        <w:t xml:space="preserve"> t</w:t>
      </w:r>
      <w:r w:rsidRPr="00CF3F4C">
        <w:rPr>
          <w:sz w:val="28"/>
          <w:szCs w:val="28"/>
        </w:rPr>
        <w:t>ục</w:t>
      </w:r>
      <w:r>
        <w:rPr>
          <w:sz w:val="28"/>
          <w:szCs w:val="28"/>
        </w:rPr>
        <w:t xml:space="preserve"> </w:t>
      </w:r>
      <w:r w:rsidR="00442F9E">
        <w:rPr>
          <w:sz w:val="28"/>
          <w:szCs w:val="28"/>
        </w:rPr>
        <w:t xml:space="preserve"> triển khai thực hiện Thông tư liên tịch số</w:t>
      </w:r>
      <w:r>
        <w:rPr>
          <w:sz w:val="28"/>
          <w:szCs w:val="28"/>
        </w:rPr>
        <w:t xml:space="preserve"> </w:t>
      </w:r>
      <w:r w:rsidR="00442F9E">
        <w:rPr>
          <w:sz w:val="28"/>
          <w:szCs w:val="28"/>
        </w:rPr>
        <w:t>26/2014/TTLTBYT-</w:t>
      </w:r>
      <w:r>
        <w:rPr>
          <w:sz w:val="28"/>
          <w:szCs w:val="28"/>
        </w:rPr>
        <w:t xml:space="preserve"> </w:t>
      </w:r>
      <w:r w:rsidR="00442F9E">
        <w:rPr>
          <w:sz w:val="28"/>
          <w:szCs w:val="28"/>
        </w:rPr>
        <w:t xml:space="preserve">BCA quy định về việc xét nghiệm nồng độ cồn trong máu của người điều khiển phương tiện giao thông cơ giới đường bộ. </w:t>
      </w:r>
    </w:p>
    <w:p w:rsidR="00BE0E31" w:rsidRDefault="00442F9E">
      <w:pPr>
        <w:spacing w:before="120" w:after="120"/>
        <w:ind w:firstLine="720"/>
        <w:jc w:val="both"/>
        <w:rPr>
          <w:sz w:val="28"/>
          <w:szCs w:val="28"/>
        </w:rPr>
      </w:pPr>
      <w:r>
        <w:rPr>
          <w:sz w:val="28"/>
          <w:szCs w:val="28"/>
        </w:rPr>
        <w:t xml:space="preserve">- Tăng cường rà soát, chấn chỉnh, quản lý công tác khám sức khỏe cho người lái xe theo đúng quy định tại Thông tư liên tịch số 24/2015/TTLTBYTBGTVT ngày 21/8/2015 của Bộ Y tế và Bộ Giao thông vận tải. </w:t>
      </w:r>
      <w:r w:rsidR="00CF3F4C">
        <w:rPr>
          <w:sz w:val="28"/>
          <w:szCs w:val="28"/>
        </w:rPr>
        <w:t>Nâng cao chất lượng công tác khám sức khỏe đối với lái xe; k</w:t>
      </w:r>
      <w:r>
        <w:rPr>
          <w:sz w:val="28"/>
          <w:szCs w:val="28"/>
        </w:rPr>
        <w:t xml:space="preserve">hông để xảy ra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 </w:t>
      </w:r>
    </w:p>
    <w:p w:rsidR="00BE0E31" w:rsidRDefault="00442F9E">
      <w:pPr>
        <w:spacing w:before="120" w:after="120"/>
        <w:ind w:firstLine="720"/>
        <w:jc w:val="both"/>
        <w:rPr>
          <w:sz w:val="28"/>
          <w:szCs w:val="28"/>
        </w:rPr>
      </w:pPr>
      <w:r>
        <w:rPr>
          <w:sz w:val="28"/>
          <w:szCs w:val="28"/>
        </w:rPr>
        <w:t xml:space="preserve">- Tiếp tục thực hiện tốt việc liên thông dữ liệu giấy khám sức khỏe lái xe phục vụ Đề án 06. </w:t>
      </w:r>
    </w:p>
    <w:p w:rsidR="00BE0E31" w:rsidRDefault="00442F9E">
      <w:pPr>
        <w:spacing w:before="120" w:after="120"/>
        <w:ind w:firstLine="720"/>
        <w:jc w:val="both"/>
        <w:rPr>
          <w:sz w:val="28"/>
          <w:szCs w:val="28"/>
        </w:rPr>
      </w:pPr>
      <w:r>
        <w:rPr>
          <w:sz w:val="28"/>
          <w:szCs w:val="28"/>
        </w:rPr>
        <w:t xml:space="preserve">- Tăng cường nhân lực và xây dựng mạng lưới y tế ở các tuyến đảm bảo đủ năng lực, trình độ chuyên môn, y đức phục vụ công tác cấp cứu và điều trị kịp thời cho bệnh nhân bị tai nạn giao thông và ứng dụng, phát triển các kỹ thuật mới, kỹ thuật tuyến trên trong điều trị chấn thương, chỉnh hình, vật lý trị liệu - PHCN tại các bệnh viện. </w:t>
      </w:r>
    </w:p>
    <w:p w:rsidR="00BE0E31" w:rsidRDefault="00442F9E">
      <w:pPr>
        <w:spacing w:before="120" w:after="120"/>
        <w:ind w:firstLine="720"/>
        <w:jc w:val="both"/>
        <w:rPr>
          <w:sz w:val="28"/>
          <w:szCs w:val="28"/>
        </w:rPr>
      </w:pPr>
      <w:r>
        <w:rPr>
          <w:sz w:val="28"/>
          <w:szCs w:val="28"/>
        </w:rPr>
        <w:t xml:space="preserve">- Chỉ đạo các bệnh viện/TTYT có giường bệnh chủ động trong công tác thường trực, cấp cứu; chuẩn bị đầy đủ dụng cụ, thiết bị y tế và nhân lực để sẵn sàng tiếp nhận và cấp cứu các trường hợp tại nạn giao thông nhất là trong các dịp lễ, tết nhằm cấp cứu nhanh chóng, kịp thời, giảm thiểu biến chứng và tử vong do tai nạn giao thông. </w:t>
      </w:r>
    </w:p>
    <w:p w:rsidR="00BE0E31" w:rsidRDefault="00442F9E">
      <w:pPr>
        <w:spacing w:before="120" w:after="120"/>
        <w:ind w:firstLine="720"/>
        <w:jc w:val="both"/>
        <w:rPr>
          <w:sz w:val="28"/>
          <w:szCs w:val="28"/>
        </w:rPr>
      </w:pPr>
      <w:r>
        <w:rPr>
          <w:sz w:val="28"/>
          <w:szCs w:val="28"/>
        </w:rPr>
        <w:t xml:space="preserve">- Tiếp tục triển khai công tác phổ biến, giáo dục pháp luật về an toàn giao thông. Tổ chức ký cam kết không vi phạm pháp luật về đảm bảo an ninh trật tự, an toàn giao thông. </w:t>
      </w:r>
    </w:p>
    <w:p w:rsidR="00BE0E31" w:rsidRDefault="00442F9E">
      <w:pPr>
        <w:spacing w:before="120" w:after="120"/>
        <w:ind w:firstLine="720"/>
        <w:jc w:val="both"/>
        <w:rPr>
          <w:sz w:val="28"/>
          <w:szCs w:val="28"/>
        </w:rPr>
      </w:pPr>
      <w:r>
        <w:rPr>
          <w:sz w:val="28"/>
          <w:szCs w:val="28"/>
        </w:rPr>
        <w:t>- Tổ chức các lớp tập huấn, phổ biến kiến thức và huấn luyện kỹ năng sơ cứu, cấp cứu tại nạn giao thông cho đội ngũ cán bộ y tế. Phối hợp với các đơn vị liên quan tổ chức tập huấn cho các đối tượng lái xe kinh doanh vận tải, thanh tra giao thông…các kỹ năng cấp cứu cơ bản trong tai nạn giao thông</w:t>
      </w:r>
      <w:r>
        <w:rPr>
          <w:b/>
          <w:sz w:val="28"/>
          <w:szCs w:val="28"/>
        </w:rPr>
        <w:t xml:space="preserve"> </w:t>
      </w:r>
    </w:p>
    <w:p w:rsidR="00BE0E31" w:rsidRDefault="00442F9E">
      <w:pPr>
        <w:widowControl w:val="0"/>
        <w:spacing w:before="120" w:after="120"/>
        <w:ind w:firstLine="567"/>
        <w:jc w:val="both"/>
        <w:rPr>
          <w:b/>
          <w:bCs/>
          <w:iCs/>
          <w:sz w:val="28"/>
          <w:szCs w:val="28"/>
          <w:lang w:val="it-IT"/>
        </w:rPr>
      </w:pPr>
      <w:r>
        <w:rPr>
          <w:b/>
          <w:bCs/>
          <w:iCs/>
          <w:sz w:val="28"/>
          <w:szCs w:val="28"/>
          <w:lang w:val="it-IT"/>
        </w:rPr>
        <w:t>II. KIẾN NGHỊ</w:t>
      </w:r>
    </w:p>
    <w:bookmarkEnd w:id="3"/>
    <w:p w:rsidR="00BE0E31" w:rsidRDefault="00442F9E">
      <w:pPr>
        <w:spacing w:before="120" w:after="120"/>
        <w:ind w:firstLine="720"/>
        <w:jc w:val="both"/>
        <w:rPr>
          <w:sz w:val="28"/>
          <w:szCs w:val="28"/>
        </w:rPr>
      </w:pPr>
      <w:r>
        <w:rPr>
          <w:sz w:val="28"/>
          <w:szCs w:val="28"/>
        </w:rPr>
        <w:lastRenderedPageBreak/>
        <w:t xml:space="preserve">- Tăng cường phối hợp trong công tác phổ biến giáo dục pháp luật giữa các cơ quan, ban, ngành, đoàn thể. </w:t>
      </w:r>
    </w:p>
    <w:p w:rsidR="00BE0E31" w:rsidRDefault="00442F9E">
      <w:pPr>
        <w:spacing w:before="120" w:after="120"/>
        <w:ind w:firstLine="720"/>
        <w:jc w:val="both"/>
        <w:rPr>
          <w:sz w:val="28"/>
          <w:szCs w:val="28"/>
        </w:rPr>
      </w:pPr>
      <w:r>
        <w:rPr>
          <w:sz w:val="28"/>
          <w:szCs w:val="28"/>
        </w:rPr>
        <w:t xml:space="preserve">- Thường xuyên cung cấp thông tin, tài liệu liên quan để tổ chức tuyên truyền trên các phương tiện thông tin đại chúng. </w:t>
      </w:r>
    </w:p>
    <w:p w:rsidR="00BE0E31" w:rsidRDefault="00442F9E">
      <w:pPr>
        <w:spacing w:before="120" w:after="120"/>
        <w:ind w:firstLine="720"/>
        <w:jc w:val="both"/>
        <w:rPr>
          <w:sz w:val="28"/>
          <w:szCs w:val="28"/>
          <w:lang w:eastAsia="ar-SA"/>
        </w:rPr>
      </w:pPr>
      <w:r>
        <w:rPr>
          <w:sz w:val="28"/>
          <w:szCs w:val="28"/>
        </w:rPr>
        <w:t xml:space="preserve">- Tăng cường </w:t>
      </w:r>
      <w:r w:rsidR="00CF3F4C">
        <w:rPr>
          <w:sz w:val="28"/>
          <w:szCs w:val="28"/>
        </w:rPr>
        <w:t>h</w:t>
      </w:r>
      <w:r w:rsidR="00CF3F4C" w:rsidRPr="00CF3F4C">
        <w:rPr>
          <w:sz w:val="28"/>
          <w:szCs w:val="28"/>
        </w:rPr>
        <w:t>ỗ</w:t>
      </w:r>
      <w:r w:rsidR="00CF3F4C">
        <w:rPr>
          <w:sz w:val="28"/>
          <w:szCs w:val="28"/>
        </w:rPr>
        <w:t xml:space="preserve"> tr</w:t>
      </w:r>
      <w:r w:rsidR="00CF3F4C" w:rsidRPr="00CF3F4C">
        <w:rPr>
          <w:sz w:val="28"/>
          <w:szCs w:val="28"/>
        </w:rPr>
        <w:t>ợ</w:t>
      </w:r>
      <w:r w:rsidR="00CF3F4C">
        <w:rPr>
          <w:sz w:val="28"/>
          <w:szCs w:val="28"/>
        </w:rPr>
        <w:t xml:space="preserve"> </w:t>
      </w:r>
      <w:r>
        <w:rPr>
          <w:sz w:val="28"/>
          <w:szCs w:val="28"/>
        </w:rPr>
        <w:t xml:space="preserve">kinh phí </w:t>
      </w:r>
      <w:r w:rsidR="00CF3F4C">
        <w:rPr>
          <w:sz w:val="28"/>
          <w:szCs w:val="28"/>
          <w:lang w:eastAsia="ar-SA"/>
        </w:rPr>
        <w:t>cho</w:t>
      </w:r>
      <w:r>
        <w:rPr>
          <w:sz w:val="28"/>
          <w:szCs w:val="28"/>
          <w:lang w:eastAsia="ar-SA"/>
        </w:rPr>
        <w:t xml:space="preserve"> các hoạt động tuyên truyề</w:t>
      </w:r>
      <w:r w:rsidR="00CF3F4C">
        <w:rPr>
          <w:sz w:val="28"/>
          <w:szCs w:val="28"/>
          <w:lang w:eastAsia="ar-SA"/>
        </w:rPr>
        <w:t xml:space="preserve">n </w:t>
      </w:r>
      <w:r>
        <w:rPr>
          <w:sz w:val="28"/>
          <w:szCs w:val="28"/>
          <w:lang w:eastAsia="ar-SA"/>
        </w:rPr>
        <w:t>đảm bảo trật tự an toàn giao thông</w:t>
      </w:r>
      <w:r>
        <w:rPr>
          <w:sz w:val="28"/>
          <w:szCs w:val="28"/>
        </w:rPr>
        <w:t>./.</w:t>
      </w:r>
    </w:p>
    <w:tbl>
      <w:tblPr>
        <w:tblW w:w="0" w:type="auto"/>
        <w:tblLook w:val="04A0" w:firstRow="1" w:lastRow="0" w:firstColumn="1" w:lastColumn="0" w:noHBand="0" w:noVBand="1"/>
      </w:tblPr>
      <w:tblGrid>
        <w:gridCol w:w="4592"/>
        <w:gridCol w:w="4650"/>
      </w:tblGrid>
      <w:tr w:rsidR="00BE0E31">
        <w:tc>
          <w:tcPr>
            <w:tcW w:w="4592" w:type="dxa"/>
            <w:shd w:val="clear" w:color="auto" w:fill="auto"/>
          </w:tcPr>
          <w:p w:rsidR="00BE0E31" w:rsidRDefault="00BE0E31">
            <w:pPr>
              <w:jc w:val="both"/>
              <w:rPr>
                <w:b/>
                <w:i/>
                <w:lang w:val="pl-PL" w:eastAsia="ar-SA"/>
              </w:rPr>
            </w:pPr>
          </w:p>
          <w:p w:rsidR="00BE0E31" w:rsidRDefault="00442F9E">
            <w:pPr>
              <w:jc w:val="both"/>
              <w:rPr>
                <w:b/>
                <w:lang w:val="pl-PL" w:eastAsia="ar-SA"/>
              </w:rPr>
            </w:pPr>
            <w:r>
              <w:rPr>
                <w:b/>
                <w:i/>
                <w:lang w:val="pl-PL" w:eastAsia="ar-SA"/>
              </w:rPr>
              <w:t>Nơi nhận</w:t>
            </w:r>
            <w:r>
              <w:rPr>
                <w:b/>
                <w:i/>
                <w:lang w:val="es-ES" w:eastAsia="ar-SA"/>
              </w:rPr>
              <w:t>:</w:t>
            </w:r>
          </w:p>
          <w:p w:rsidR="00BE0E31" w:rsidRDefault="00442F9E">
            <w:pPr>
              <w:jc w:val="both"/>
              <w:rPr>
                <w:sz w:val="22"/>
                <w:lang w:val="pl-PL" w:eastAsia="ar-SA"/>
              </w:rPr>
            </w:pPr>
            <w:r>
              <w:rPr>
                <w:sz w:val="22"/>
                <w:lang w:val="pl-PL" w:eastAsia="ar-SA"/>
              </w:rPr>
              <w:t xml:space="preserve">- </w:t>
            </w:r>
            <w:r w:rsidR="009D2181">
              <w:rPr>
                <w:sz w:val="22"/>
                <w:lang w:val="pl-PL" w:eastAsia="ar-SA"/>
              </w:rPr>
              <w:t>Đoàn Giám sát số 11, Đoàn ĐBQH tỉnh Hà Tĩnh</w:t>
            </w:r>
            <w:r>
              <w:rPr>
                <w:sz w:val="22"/>
                <w:lang w:val="pl-PL" w:eastAsia="ar-SA"/>
              </w:rPr>
              <w:t xml:space="preserve"> (để báo cáo);</w:t>
            </w:r>
          </w:p>
          <w:p w:rsidR="00BE0E31" w:rsidRDefault="00442F9E">
            <w:pPr>
              <w:jc w:val="both"/>
              <w:rPr>
                <w:sz w:val="22"/>
                <w:szCs w:val="22"/>
                <w:lang w:val="es-ES" w:eastAsia="ar-SA"/>
              </w:rPr>
            </w:pPr>
            <w:r>
              <w:rPr>
                <w:sz w:val="22"/>
                <w:szCs w:val="22"/>
                <w:lang w:val="es-ES" w:eastAsia="ar-SA"/>
              </w:rPr>
              <w:t>- Lưu: VT, VP.</w:t>
            </w:r>
          </w:p>
        </w:tc>
        <w:tc>
          <w:tcPr>
            <w:tcW w:w="4650" w:type="dxa"/>
            <w:shd w:val="clear" w:color="auto" w:fill="auto"/>
          </w:tcPr>
          <w:p w:rsidR="00BE0E31" w:rsidRDefault="00BE0E31">
            <w:pPr>
              <w:ind w:firstLine="720"/>
              <w:jc w:val="center"/>
              <w:rPr>
                <w:b/>
                <w:sz w:val="28"/>
                <w:lang w:val="pl-PL" w:eastAsia="ar-SA"/>
              </w:rPr>
            </w:pPr>
          </w:p>
          <w:p w:rsidR="00BE0E31" w:rsidRDefault="009D2181">
            <w:pPr>
              <w:ind w:firstLine="720"/>
              <w:jc w:val="center"/>
              <w:rPr>
                <w:b/>
                <w:sz w:val="28"/>
                <w:lang w:val="pl-PL" w:eastAsia="ar-SA"/>
              </w:rPr>
            </w:pPr>
            <w:r>
              <w:rPr>
                <w:b/>
                <w:sz w:val="28"/>
                <w:lang w:val="pl-PL" w:eastAsia="ar-SA"/>
              </w:rPr>
              <w:t>KT.</w:t>
            </w:r>
            <w:r w:rsidR="00442F9E">
              <w:rPr>
                <w:b/>
                <w:sz w:val="28"/>
                <w:lang w:val="pl-PL" w:eastAsia="ar-SA"/>
              </w:rPr>
              <w:t>GIÁM ĐỐC</w:t>
            </w:r>
          </w:p>
          <w:p w:rsidR="009D2181" w:rsidRDefault="009D2181">
            <w:pPr>
              <w:ind w:firstLine="720"/>
              <w:jc w:val="center"/>
              <w:rPr>
                <w:b/>
                <w:sz w:val="28"/>
                <w:lang w:val="pl-PL" w:eastAsia="ar-SA"/>
              </w:rPr>
            </w:pPr>
            <w:r>
              <w:rPr>
                <w:b/>
                <w:sz w:val="28"/>
                <w:lang w:val="pl-PL" w:eastAsia="ar-SA"/>
              </w:rPr>
              <w:t>PHÓ GIÁM ĐỐC</w:t>
            </w:r>
          </w:p>
          <w:p w:rsidR="00BE0E31" w:rsidRDefault="00BE0E31">
            <w:pPr>
              <w:rPr>
                <w:b/>
                <w:sz w:val="28"/>
                <w:lang w:val="pl-PL" w:eastAsia="ar-SA"/>
              </w:rPr>
            </w:pPr>
          </w:p>
          <w:p w:rsidR="00BE0E31" w:rsidRDefault="00BE0E31">
            <w:pPr>
              <w:ind w:firstLine="720"/>
              <w:jc w:val="center"/>
              <w:rPr>
                <w:b/>
                <w:sz w:val="28"/>
                <w:lang w:val="pl-PL" w:eastAsia="ar-SA"/>
              </w:rPr>
            </w:pPr>
          </w:p>
          <w:p w:rsidR="00BE0E31" w:rsidRDefault="00BE0E31">
            <w:pPr>
              <w:ind w:firstLine="720"/>
              <w:jc w:val="center"/>
              <w:rPr>
                <w:b/>
                <w:sz w:val="28"/>
                <w:lang w:val="pl-PL" w:eastAsia="ar-SA"/>
              </w:rPr>
            </w:pPr>
          </w:p>
          <w:p w:rsidR="00CF3F4C" w:rsidRDefault="00CF3F4C">
            <w:pPr>
              <w:ind w:firstLine="720"/>
              <w:jc w:val="center"/>
              <w:rPr>
                <w:b/>
                <w:sz w:val="28"/>
                <w:lang w:val="pl-PL" w:eastAsia="ar-SA"/>
              </w:rPr>
            </w:pPr>
          </w:p>
          <w:p w:rsidR="00BE0E31" w:rsidRDefault="00BE0E31">
            <w:pPr>
              <w:ind w:firstLine="720"/>
              <w:jc w:val="center"/>
              <w:rPr>
                <w:b/>
                <w:sz w:val="28"/>
                <w:lang w:val="pl-PL" w:eastAsia="ar-SA"/>
              </w:rPr>
            </w:pPr>
          </w:p>
          <w:p w:rsidR="00BE0E31" w:rsidRDefault="009D2181">
            <w:pPr>
              <w:ind w:firstLine="720"/>
              <w:jc w:val="center"/>
              <w:rPr>
                <w:b/>
                <w:sz w:val="28"/>
                <w:lang w:val="pl-PL" w:eastAsia="ar-SA"/>
              </w:rPr>
            </w:pPr>
            <w:r>
              <w:rPr>
                <w:b/>
                <w:sz w:val="28"/>
                <w:lang w:val="pl-PL" w:eastAsia="ar-SA"/>
              </w:rPr>
              <w:t>Lê Chánh Thành</w:t>
            </w:r>
          </w:p>
        </w:tc>
      </w:tr>
    </w:tbl>
    <w:p w:rsidR="00BE0E31" w:rsidRDefault="00BE0E31">
      <w:pPr>
        <w:rPr>
          <w:sz w:val="26"/>
          <w:szCs w:val="26"/>
          <w:lang w:val="sv-SE"/>
        </w:rPr>
      </w:pPr>
    </w:p>
    <w:p w:rsidR="00BE0E31" w:rsidRDefault="00BE0E31">
      <w:pPr>
        <w:rPr>
          <w:sz w:val="26"/>
          <w:szCs w:val="26"/>
          <w:lang w:val="sv-SE"/>
        </w:rPr>
        <w:sectPr w:rsidR="00BE0E31">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titlePg/>
          <w:docGrid w:linePitch="360"/>
        </w:sectPr>
      </w:pPr>
    </w:p>
    <w:p w:rsidR="00BE0E31" w:rsidRDefault="00442F9E">
      <w:pPr>
        <w:jc w:val="center"/>
        <w:rPr>
          <w:b/>
          <w:bCs/>
          <w:color w:val="000000"/>
          <w:lang w:eastAsia="vi-VN"/>
        </w:rPr>
      </w:pPr>
      <w:r>
        <w:rPr>
          <w:b/>
          <w:bCs/>
          <w:color w:val="000000"/>
          <w:lang w:val="vi-VN" w:eastAsia="vi-VN"/>
        </w:rPr>
        <w:lastRenderedPageBreak/>
        <w:t xml:space="preserve">SỐ LIỆU </w:t>
      </w:r>
      <w:r>
        <w:rPr>
          <w:b/>
          <w:bCs/>
          <w:color w:val="000000"/>
          <w:lang w:eastAsia="vi-VN"/>
        </w:rPr>
        <w:t>CÔNG TÁC BẢO ĐẢM TRẬT TỰ AN TOÀN GIAO THÔNG</w:t>
      </w:r>
    </w:p>
    <w:p w:rsidR="00BE0E31" w:rsidRDefault="00442F9E">
      <w:pPr>
        <w:jc w:val="center"/>
        <w:rPr>
          <w:b/>
          <w:bCs/>
          <w:color w:val="000000"/>
          <w:lang w:eastAsia="vi-VN"/>
        </w:rPr>
      </w:pPr>
      <w:r>
        <w:rPr>
          <w:b/>
          <w:bCs/>
          <w:color w:val="000000"/>
          <w:lang w:val="vi-VN" w:eastAsia="vi-VN"/>
        </w:rPr>
        <w:t xml:space="preserve"> </w:t>
      </w:r>
      <w:r>
        <w:rPr>
          <w:b/>
          <w:bCs/>
          <w:color w:val="000000"/>
          <w:lang w:eastAsia="vi-VN"/>
        </w:rPr>
        <w:t>Từ năm 2009 đến năm 2023</w:t>
      </w:r>
    </w:p>
    <w:p w:rsidR="00BE0E31" w:rsidRDefault="00442F9E">
      <w:pPr>
        <w:spacing w:after="120"/>
        <w:jc w:val="center"/>
        <w:rPr>
          <w:i/>
          <w:iCs/>
          <w:color w:val="000000"/>
          <w:sz w:val="26"/>
          <w:szCs w:val="26"/>
          <w:lang w:eastAsia="vi-VN"/>
        </w:rPr>
      </w:pPr>
      <w:r>
        <w:rPr>
          <w:i/>
          <w:iCs/>
          <w:color w:val="000000"/>
          <w:sz w:val="26"/>
          <w:szCs w:val="26"/>
          <w:lang w:val="vi-VN" w:eastAsia="vi-VN"/>
        </w:rPr>
        <w:t xml:space="preserve">(Kèm theo </w:t>
      </w:r>
      <w:r>
        <w:rPr>
          <w:i/>
          <w:iCs/>
          <w:color w:val="000000"/>
          <w:sz w:val="26"/>
          <w:szCs w:val="26"/>
          <w:lang w:eastAsia="vi-VN"/>
        </w:rPr>
        <w:t>Báo cáo</w:t>
      </w:r>
      <w:r>
        <w:rPr>
          <w:i/>
          <w:iCs/>
          <w:color w:val="000000"/>
          <w:sz w:val="26"/>
          <w:szCs w:val="26"/>
          <w:lang w:val="vi-VN" w:eastAsia="vi-VN"/>
        </w:rPr>
        <w:t xml:space="preserve"> số   </w:t>
      </w:r>
      <w:r>
        <w:rPr>
          <w:i/>
          <w:iCs/>
          <w:color w:val="000000"/>
          <w:sz w:val="26"/>
          <w:szCs w:val="26"/>
          <w:lang w:eastAsia="vi-VN"/>
        </w:rPr>
        <w:t xml:space="preserve">   </w:t>
      </w:r>
      <w:r>
        <w:rPr>
          <w:i/>
          <w:iCs/>
          <w:color w:val="000000"/>
          <w:sz w:val="26"/>
          <w:szCs w:val="26"/>
          <w:lang w:val="vi-VN" w:eastAsia="vi-VN"/>
        </w:rPr>
        <w:t xml:space="preserve">  /</w:t>
      </w:r>
      <w:r>
        <w:rPr>
          <w:i/>
          <w:iCs/>
          <w:color w:val="000000"/>
          <w:sz w:val="26"/>
          <w:szCs w:val="26"/>
          <w:lang w:eastAsia="vi-VN"/>
        </w:rPr>
        <w:t xml:space="preserve">BC-SYT     </w:t>
      </w:r>
      <w:r>
        <w:rPr>
          <w:i/>
          <w:iCs/>
          <w:color w:val="000000"/>
          <w:sz w:val="26"/>
          <w:szCs w:val="26"/>
          <w:lang w:val="vi-VN" w:eastAsia="vi-VN"/>
        </w:rPr>
        <w:t xml:space="preserve">ngày </w:t>
      </w:r>
      <w:r>
        <w:rPr>
          <w:i/>
          <w:iCs/>
          <w:color w:val="000000"/>
          <w:sz w:val="26"/>
          <w:szCs w:val="26"/>
          <w:lang w:eastAsia="vi-VN"/>
        </w:rPr>
        <w:t xml:space="preserve">     </w:t>
      </w:r>
      <w:r>
        <w:rPr>
          <w:i/>
          <w:iCs/>
          <w:color w:val="000000"/>
          <w:sz w:val="26"/>
          <w:szCs w:val="26"/>
          <w:lang w:val="vi-VN" w:eastAsia="vi-VN"/>
        </w:rPr>
        <w:t xml:space="preserve"> tháng  </w:t>
      </w:r>
      <w:r>
        <w:rPr>
          <w:i/>
          <w:iCs/>
          <w:color w:val="000000"/>
          <w:sz w:val="26"/>
          <w:szCs w:val="26"/>
          <w:lang w:eastAsia="vi-VN"/>
        </w:rPr>
        <w:t xml:space="preserve">    </w:t>
      </w:r>
      <w:r>
        <w:rPr>
          <w:i/>
          <w:iCs/>
          <w:color w:val="000000"/>
          <w:sz w:val="26"/>
          <w:szCs w:val="26"/>
          <w:lang w:val="vi-VN" w:eastAsia="vi-VN"/>
        </w:rPr>
        <w:t xml:space="preserve"> năm 20</w:t>
      </w:r>
      <w:r>
        <w:rPr>
          <w:i/>
          <w:iCs/>
          <w:color w:val="000000"/>
          <w:sz w:val="26"/>
          <w:szCs w:val="26"/>
          <w:lang w:eastAsia="vi-VN"/>
        </w:rPr>
        <w:t>24</w:t>
      </w:r>
      <w:r>
        <w:rPr>
          <w:i/>
          <w:iCs/>
          <w:color w:val="000000"/>
          <w:sz w:val="26"/>
          <w:szCs w:val="26"/>
          <w:lang w:val="vi-VN" w:eastAsia="vi-VN"/>
        </w:rPr>
        <w:t>)</w:t>
      </w:r>
    </w:p>
    <w:tbl>
      <w:tblPr>
        <w:tblW w:w="14969" w:type="dxa"/>
        <w:tblLook w:val="04A0" w:firstRow="1" w:lastRow="0" w:firstColumn="1" w:lastColumn="0" w:noHBand="0" w:noVBand="1"/>
      </w:tblPr>
      <w:tblGrid>
        <w:gridCol w:w="654"/>
        <w:gridCol w:w="2035"/>
        <w:gridCol w:w="756"/>
        <w:gridCol w:w="756"/>
        <w:gridCol w:w="756"/>
        <w:gridCol w:w="756"/>
        <w:gridCol w:w="756"/>
        <w:gridCol w:w="756"/>
        <w:gridCol w:w="756"/>
        <w:gridCol w:w="756"/>
        <w:gridCol w:w="756"/>
        <w:gridCol w:w="756"/>
        <w:gridCol w:w="756"/>
        <w:gridCol w:w="756"/>
        <w:gridCol w:w="756"/>
        <w:gridCol w:w="756"/>
        <w:gridCol w:w="756"/>
        <w:gridCol w:w="940"/>
      </w:tblGrid>
      <w:tr w:rsidR="00BE0E31">
        <w:trPr>
          <w:trHeight w:val="315"/>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E31" w:rsidRDefault="00442F9E">
            <w:pPr>
              <w:rPr>
                <w:b/>
                <w:bCs/>
                <w:color w:val="000000"/>
                <w:sz w:val="22"/>
                <w:szCs w:val="22"/>
              </w:rPr>
            </w:pPr>
            <w:r>
              <w:rPr>
                <w:b/>
                <w:bCs/>
                <w:color w:val="000000"/>
                <w:sz w:val="22"/>
                <w:szCs w:val="22"/>
              </w:rPr>
              <w:t>STT</w:t>
            </w:r>
          </w:p>
        </w:tc>
        <w:tc>
          <w:tcPr>
            <w:tcW w:w="2035" w:type="dxa"/>
            <w:tcBorders>
              <w:top w:val="single" w:sz="4" w:space="0" w:color="auto"/>
              <w:left w:val="nil"/>
              <w:bottom w:val="single" w:sz="4" w:space="0" w:color="auto"/>
              <w:right w:val="single" w:sz="4" w:space="0" w:color="auto"/>
            </w:tcBorders>
            <w:shd w:val="clear" w:color="auto" w:fill="auto"/>
            <w:vAlign w:val="center"/>
            <w:hideMark/>
          </w:tcPr>
          <w:p w:rsidR="00BE0E31" w:rsidRDefault="00442F9E">
            <w:pPr>
              <w:jc w:val="center"/>
              <w:rPr>
                <w:b/>
                <w:bCs/>
                <w:color w:val="000000"/>
                <w:sz w:val="22"/>
                <w:szCs w:val="22"/>
              </w:rPr>
            </w:pPr>
            <w:r>
              <w:rPr>
                <w:b/>
                <w:bCs/>
                <w:color w:val="000000"/>
                <w:sz w:val="22"/>
                <w:szCs w:val="22"/>
              </w:rPr>
              <w:t>NỘI DUNG</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2009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2013</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2014</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2015</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2016</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2017</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2018</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2019</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2020</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2021</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2022</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E0E31" w:rsidRDefault="00442F9E">
            <w:pPr>
              <w:jc w:val="center"/>
              <w:rPr>
                <w:b/>
                <w:bCs/>
                <w:color w:val="000000"/>
                <w:sz w:val="22"/>
                <w:szCs w:val="22"/>
              </w:rPr>
            </w:pPr>
            <w:r>
              <w:rPr>
                <w:b/>
                <w:bCs/>
                <w:color w:val="000000"/>
                <w:sz w:val="22"/>
                <w:szCs w:val="22"/>
              </w:rPr>
              <w:t>2023</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BE0E31" w:rsidRDefault="00442F9E">
            <w:pPr>
              <w:jc w:val="center"/>
              <w:rPr>
                <w:b/>
                <w:bCs/>
                <w:color w:val="000000"/>
                <w:sz w:val="22"/>
                <w:szCs w:val="22"/>
              </w:rPr>
            </w:pPr>
            <w:r>
              <w:rPr>
                <w:b/>
                <w:bCs/>
                <w:color w:val="000000"/>
                <w:sz w:val="22"/>
                <w:szCs w:val="22"/>
              </w:rPr>
              <w:t>TỔNG</w:t>
            </w:r>
          </w:p>
        </w:tc>
      </w:tr>
      <w:tr w:rsidR="00BE0E31">
        <w:trPr>
          <w:trHeight w:val="6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1</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Tổng số nạn nhân đến cấp cứu do TNGT</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3,266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3,412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3,595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3,858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3,974</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4,134</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4,673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4,958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5,019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5,471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5,819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5,550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4,747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4,059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4,466</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67,001</w:t>
            </w:r>
          </w:p>
        </w:tc>
      </w:tr>
      <w:tr w:rsidR="00BE0E31">
        <w:trPr>
          <w:trHeight w:val="6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2</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Tổng số trường hợp chấn thương sọ não</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519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545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551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562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571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819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768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795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676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720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807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868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628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631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614</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10,074</w:t>
            </w:r>
          </w:p>
        </w:tc>
      </w:tr>
      <w:tr w:rsidR="00BE0E31">
        <w:trPr>
          <w:trHeight w:val="6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3.1</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Tổng số trường hợp xét nghiệm nồng độ cồn trong máu</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325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458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713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600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623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599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943</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4,314</w:t>
            </w:r>
          </w:p>
        </w:tc>
      </w:tr>
      <w:tr w:rsidR="00BE0E31">
        <w:trPr>
          <w:trHeight w:val="9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3.2</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Tổng số trường hợp tai nạn giao thông vi phạm nồng độ cồn trong máu</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105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140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216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153</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367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266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438</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1,699</w:t>
            </w:r>
          </w:p>
        </w:tc>
      </w:tr>
      <w:tr w:rsidR="00BE0E31">
        <w:trPr>
          <w:trHeight w:val="6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4</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Tổng số bệnh nhân cấp cứu do TNGT chuyển viện</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481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469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502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498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518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461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560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558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677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542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669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606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449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512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562</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8,064</w:t>
            </w:r>
          </w:p>
        </w:tc>
      </w:tr>
      <w:tr w:rsidR="00BE0E31">
        <w:trPr>
          <w:trHeight w:val="600"/>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5.1</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Số nạn nhân tử vong sau khi nhập viện</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4</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6</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12</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99</w:t>
            </w:r>
          </w:p>
        </w:tc>
      </w:tr>
      <w:tr w:rsidR="00BE0E31">
        <w:trPr>
          <w:trHeight w:val="315"/>
        </w:trPr>
        <w:tc>
          <w:tcPr>
            <w:tcW w:w="654" w:type="dxa"/>
            <w:tcBorders>
              <w:top w:val="nil"/>
              <w:left w:val="single" w:sz="4" w:space="0" w:color="auto"/>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 5.2</w:t>
            </w:r>
          </w:p>
        </w:tc>
        <w:tc>
          <w:tcPr>
            <w:tcW w:w="2035" w:type="dxa"/>
            <w:tcBorders>
              <w:top w:val="nil"/>
              <w:left w:val="nil"/>
              <w:bottom w:val="single" w:sz="4" w:space="0" w:color="auto"/>
              <w:right w:val="single" w:sz="4" w:space="0" w:color="auto"/>
            </w:tcBorders>
            <w:shd w:val="clear" w:color="auto" w:fill="auto"/>
            <w:vAlign w:val="center"/>
            <w:hideMark/>
          </w:tcPr>
          <w:p w:rsidR="00BE0E31" w:rsidRDefault="00442F9E">
            <w:pPr>
              <w:rPr>
                <w:color w:val="000000"/>
                <w:sz w:val="22"/>
                <w:szCs w:val="22"/>
              </w:rPr>
            </w:pPr>
            <w:r>
              <w:rPr>
                <w:color w:val="000000"/>
                <w:sz w:val="22"/>
                <w:szCs w:val="22"/>
              </w:rPr>
              <w:t>Số nạn nhân nặng xin về</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18</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17</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31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21</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19</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25</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20</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14</w:t>
            </w:r>
          </w:p>
        </w:tc>
        <w:tc>
          <w:tcPr>
            <w:tcW w:w="756"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color w:val="000000"/>
                <w:sz w:val="22"/>
              </w:rPr>
            </w:pPr>
            <w:r>
              <w:rPr>
                <w:color w:val="000000"/>
                <w:sz w:val="22"/>
              </w:rPr>
              <w:t>25</w:t>
            </w:r>
          </w:p>
        </w:tc>
        <w:tc>
          <w:tcPr>
            <w:tcW w:w="940" w:type="dxa"/>
            <w:tcBorders>
              <w:top w:val="nil"/>
              <w:left w:val="nil"/>
              <w:bottom w:val="single" w:sz="4" w:space="0" w:color="auto"/>
              <w:right w:val="single" w:sz="4" w:space="0" w:color="auto"/>
            </w:tcBorders>
            <w:shd w:val="clear" w:color="auto" w:fill="auto"/>
            <w:noWrap/>
            <w:vAlign w:val="bottom"/>
            <w:hideMark/>
          </w:tcPr>
          <w:p w:rsidR="00BE0E31" w:rsidRDefault="00442F9E">
            <w:pPr>
              <w:jc w:val="right"/>
              <w:rPr>
                <w:b/>
                <w:bCs/>
                <w:color w:val="000000"/>
                <w:sz w:val="22"/>
              </w:rPr>
            </w:pPr>
            <w:r>
              <w:rPr>
                <w:b/>
                <w:bCs/>
                <w:color w:val="000000"/>
                <w:sz w:val="22"/>
              </w:rPr>
              <w:t>309</w:t>
            </w:r>
          </w:p>
        </w:tc>
      </w:tr>
    </w:tbl>
    <w:p w:rsidR="00BE0E31" w:rsidRDefault="00442F9E">
      <w:pPr>
        <w:spacing w:before="120"/>
        <w:jc w:val="right"/>
        <w:rPr>
          <w:b/>
          <w:sz w:val="26"/>
          <w:szCs w:val="26"/>
          <w:lang w:val="sv-SE"/>
        </w:rPr>
      </w:pPr>
      <w:r>
        <w:rPr>
          <w:b/>
          <w:sz w:val="26"/>
          <w:szCs w:val="26"/>
          <w:lang w:val="sv-SE"/>
        </w:rPr>
        <w:t>SỞ Y TẾ HÀ TĨNH</w:t>
      </w:r>
    </w:p>
    <w:p w:rsidR="00BE0E31" w:rsidRDefault="00BE0E31">
      <w:pPr>
        <w:rPr>
          <w:sz w:val="26"/>
          <w:szCs w:val="26"/>
          <w:lang w:val="sv-SE"/>
        </w:rPr>
      </w:pPr>
    </w:p>
    <w:p w:rsidR="00BE0E31" w:rsidRDefault="00442F9E">
      <w:pPr>
        <w:tabs>
          <w:tab w:val="left" w:pos="13104"/>
        </w:tabs>
        <w:spacing w:before="120"/>
        <w:rPr>
          <w:b/>
          <w:color w:val="FF0000"/>
          <w:sz w:val="26"/>
          <w:szCs w:val="26"/>
          <w:lang w:val="sv-SE"/>
        </w:rPr>
      </w:pPr>
      <w:r>
        <w:rPr>
          <w:sz w:val="26"/>
          <w:szCs w:val="26"/>
          <w:lang w:val="sv-SE"/>
        </w:rPr>
        <w:tab/>
      </w:r>
      <w:bookmarkEnd w:id="2"/>
    </w:p>
    <w:sectPr w:rsidR="00BE0E31">
      <w:pgSz w:w="16840" w:h="11907" w:orient="landscape" w:code="9"/>
      <w:pgMar w:top="170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2DD" w:rsidRDefault="00C412DD">
      <w:r>
        <w:separator/>
      </w:r>
    </w:p>
  </w:endnote>
  <w:endnote w:type="continuationSeparator" w:id="0">
    <w:p w:rsidR="00C412DD" w:rsidRDefault="00C41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31" w:rsidRDefault="00BE0E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31" w:rsidRDefault="00BE0E31">
    <w:pPr>
      <w:pStyle w:val="Footer"/>
      <w:jc w:val="center"/>
    </w:pPr>
  </w:p>
  <w:p w:rsidR="00BE0E31" w:rsidRDefault="00BE0E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31" w:rsidRDefault="00BE0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2DD" w:rsidRDefault="00C412DD">
      <w:r>
        <w:separator/>
      </w:r>
    </w:p>
  </w:footnote>
  <w:footnote w:type="continuationSeparator" w:id="0">
    <w:p w:rsidR="00C412DD" w:rsidRDefault="00C41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31" w:rsidRDefault="00442F9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E0E31" w:rsidRDefault="00BE0E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237126"/>
      <w:docPartObj>
        <w:docPartGallery w:val="Page Numbers (Top of Page)"/>
        <w:docPartUnique/>
      </w:docPartObj>
    </w:sdtPr>
    <w:sdtEndPr>
      <w:rPr>
        <w:noProof/>
      </w:rPr>
    </w:sdtEndPr>
    <w:sdtContent>
      <w:p w:rsidR="00BE0E31" w:rsidRDefault="00442F9E">
        <w:pPr>
          <w:pStyle w:val="Header"/>
          <w:jc w:val="center"/>
        </w:pPr>
        <w:r>
          <w:fldChar w:fldCharType="begin"/>
        </w:r>
        <w:r>
          <w:instrText xml:space="preserve"> PAGE   \* MERGEFORMAT </w:instrText>
        </w:r>
        <w:r>
          <w:fldChar w:fldCharType="separate"/>
        </w:r>
        <w:r w:rsidR="00FC1411">
          <w:rPr>
            <w:noProof/>
          </w:rPr>
          <w:t>5</w:t>
        </w:r>
        <w:r>
          <w:rPr>
            <w:noProof/>
          </w:rPr>
          <w:fldChar w:fldCharType="end"/>
        </w:r>
      </w:p>
    </w:sdtContent>
  </w:sdt>
  <w:p w:rsidR="00BE0E31" w:rsidRDefault="00BE0E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E31" w:rsidRDefault="00BE0E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A2B66"/>
    <w:multiLevelType w:val="hybridMultilevel"/>
    <w:tmpl w:val="573CFBD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CA6763B"/>
    <w:multiLevelType w:val="hybridMultilevel"/>
    <w:tmpl w:val="F0187E9A"/>
    <w:lvl w:ilvl="0" w:tplc="17A2EE78">
      <w:start w:val="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
    <w:nsid w:val="4DEF0EFF"/>
    <w:multiLevelType w:val="hybridMultilevel"/>
    <w:tmpl w:val="0EECE776"/>
    <w:lvl w:ilvl="0" w:tplc="3D02C92A">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
    <w:nsid w:val="52E849A1"/>
    <w:multiLevelType w:val="hybridMultilevel"/>
    <w:tmpl w:val="3CC8309E"/>
    <w:lvl w:ilvl="0" w:tplc="F98029B4">
      <w:start w:val="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nsid w:val="52FA10ED"/>
    <w:multiLevelType w:val="hybridMultilevel"/>
    <w:tmpl w:val="373C7B9A"/>
    <w:lvl w:ilvl="0" w:tplc="D1089854">
      <w:start w:val="1"/>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2F45B5"/>
    <w:multiLevelType w:val="hybridMultilevel"/>
    <w:tmpl w:val="4C4EC04A"/>
    <w:lvl w:ilvl="0" w:tplc="64EAE532">
      <w:start w:val="1"/>
      <w:numFmt w:val="bullet"/>
      <w:lvlText w:val="-"/>
      <w:lvlJc w:val="left"/>
      <w:pPr>
        <w:ind w:left="927" w:hanging="360"/>
      </w:pPr>
      <w:rPr>
        <w:rFonts w:ascii="Times New Roman" w:eastAsia="MS Mincho"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6F2120CC"/>
    <w:multiLevelType w:val="hybridMultilevel"/>
    <w:tmpl w:val="DD2A4B9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BD6053C"/>
    <w:multiLevelType w:val="hybridMultilevel"/>
    <w:tmpl w:val="E496E654"/>
    <w:lvl w:ilvl="0" w:tplc="B10222EA">
      <w:start w:val="1"/>
      <w:numFmt w:val="decimal"/>
      <w:pStyle w:val="iu1"/>
      <w:lvlText w:val="Điều %1."/>
      <w:lvlJc w:val="left"/>
      <w:pPr>
        <w:tabs>
          <w:tab w:val="num" w:pos="2421"/>
        </w:tabs>
        <w:ind w:left="890" w:firstLine="397"/>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7"/>
  </w:num>
  <w:num w:numId="2">
    <w:abstractNumId w:val="0"/>
  </w:num>
  <w:num w:numId="3">
    <w:abstractNumId w:val="6"/>
  </w:num>
  <w:num w:numId="4">
    <w:abstractNumId w:val="1"/>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E31"/>
    <w:rsid w:val="001F11CF"/>
    <w:rsid w:val="0035774F"/>
    <w:rsid w:val="00442F9E"/>
    <w:rsid w:val="00464DA0"/>
    <w:rsid w:val="009D2181"/>
    <w:rsid w:val="00BE0E31"/>
    <w:rsid w:val="00C412DD"/>
    <w:rsid w:val="00CF3F4C"/>
    <w:rsid w:val="00FC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u1">
    <w:name w:val="Điều 1"/>
    <w:basedOn w:val="Normal"/>
    <w:autoRedefine/>
    <w:pPr>
      <w:keepNext/>
      <w:numPr>
        <w:numId w:val="1"/>
      </w:numPr>
      <w:tabs>
        <w:tab w:val="clear" w:pos="2421"/>
        <w:tab w:val="num" w:pos="360"/>
      </w:tabs>
      <w:spacing w:before="120" w:after="120"/>
      <w:ind w:left="0" w:firstLine="0"/>
      <w:jc w:val="both"/>
      <w:outlineLvl w:val="2"/>
    </w:pPr>
    <w:rPr>
      <w:rFonts w:cs="Arial"/>
      <w:b/>
      <w:sz w:val="28"/>
      <w:szCs w:val="20"/>
      <w:lang w:eastAsia="en-US"/>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rFonts w:eastAsia="Times New Roman"/>
      <w:lang w:eastAsia="en-US"/>
    </w:rPr>
  </w:style>
  <w:style w:type="character" w:customStyle="1" w:styleId="giua-h1">
    <w:name w:val="giua-h1"/>
    <w:rPr>
      <w:rFonts w:ascii="Times New Roman" w:hAnsi="Times New Roman" w:cs="Times New Roman" w:hint="default"/>
      <w:b/>
      <w:bCs/>
      <w:color w:val="0000FF"/>
      <w:spacing w:val="24"/>
      <w:sz w:val="24"/>
      <w:szCs w:val="24"/>
    </w:rPr>
  </w:style>
  <w:style w:type="paragraph" w:customStyle="1" w:styleId="normal-p">
    <w:name w:val="normal-p"/>
    <w:basedOn w:val="Normal"/>
    <w:pPr>
      <w:jc w:val="both"/>
    </w:pPr>
    <w:rPr>
      <w:rFonts w:eastAsia="Times New Roman"/>
      <w:sz w:val="20"/>
      <w:szCs w:val="20"/>
      <w:lang w:eastAsia="en-US"/>
    </w:rPr>
  </w:style>
  <w:style w:type="character" w:customStyle="1" w:styleId="normal-h1">
    <w:name w:val="normal-h1"/>
    <w:rPr>
      <w:rFonts w:ascii=".VnTime" w:hAnsi=".VnTime" w:hint="default"/>
      <w:sz w:val="28"/>
      <w:szCs w:val="28"/>
    </w:rPr>
  </w:style>
  <w:style w:type="character" w:customStyle="1" w:styleId="FooterChar">
    <w:name w:val="Footer Char"/>
    <w:basedOn w:val="DefaultParagraphFont"/>
    <w:link w:val="Footer"/>
    <w:uiPriority w:val="99"/>
    <w:rPr>
      <w:sz w:val="24"/>
      <w:szCs w:val="24"/>
      <w:lang w:val="en-US" w:eastAsia="ja-JP"/>
    </w:rPr>
  </w:style>
  <w:style w:type="character" w:customStyle="1" w:styleId="Normal-h10">
    <w:name w:val="Normal-h1"/>
    <w:rPr>
      <w:rFonts w:ascii="Times New Roman" w:hAnsi="Times New Roman"/>
      <w:color w:val="0000FF"/>
      <w:sz w:val="24"/>
    </w:rPr>
  </w:style>
  <w:style w:type="paragraph" w:customStyle="1" w:styleId="Normal-p0">
    <w:name w:val="Normal-p"/>
    <w:basedOn w:val="Normal"/>
    <w:pPr>
      <w:jc w:val="both"/>
    </w:pPr>
    <w:rPr>
      <w:sz w:val="20"/>
      <w:szCs w:val="20"/>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4"/>
      <w:szCs w:val="24"/>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u1">
    <w:name w:val="Điều 1"/>
    <w:basedOn w:val="Normal"/>
    <w:autoRedefine/>
    <w:pPr>
      <w:keepNext/>
      <w:numPr>
        <w:numId w:val="1"/>
      </w:numPr>
      <w:tabs>
        <w:tab w:val="clear" w:pos="2421"/>
        <w:tab w:val="num" w:pos="360"/>
      </w:tabs>
      <w:spacing w:before="120" w:after="120"/>
      <w:ind w:left="0" w:firstLine="0"/>
      <w:jc w:val="both"/>
      <w:outlineLvl w:val="2"/>
    </w:pPr>
    <w:rPr>
      <w:rFonts w:cs="Arial"/>
      <w:b/>
      <w:sz w:val="28"/>
      <w:szCs w:val="20"/>
      <w:lang w:eastAsia="en-US"/>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unhideWhenUsed/>
    <w:pPr>
      <w:spacing w:before="100" w:beforeAutospacing="1" w:after="100" w:afterAutospacing="1"/>
    </w:pPr>
    <w:rPr>
      <w:rFonts w:eastAsia="Times New Roman"/>
      <w:lang w:eastAsia="en-US"/>
    </w:rPr>
  </w:style>
  <w:style w:type="character" w:customStyle="1" w:styleId="giua-h1">
    <w:name w:val="giua-h1"/>
    <w:rPr>
      <w:rFonts w:ascii="Times New Roman" w:hAnsi="Times New Roman" w:cs="Times New Roman" w:hint="default"/>
      <w:b/>
      <w:bCs/>
      <w:color w:val="0000FF"/>
      <w:spacing w:val="24"/>
      <w:sz w:val="24"/>
      <w:szCs w:val="24"/>
    </w:rPr>
  </w:style>
  <w:style w:type="paragraph" w:customStyle="1" w:styleId="normal-p">
    <w:name w:val="normal-p"/>
    <w:basedOn w:val="Normal"/>
    <w:pPr>
      <w:jc w:val="both"/>
    </w:pPr>
    <w:rPr>
      <w:rFonts w:eastAsia="Times New Roman"/>
      <w:sz w:val="20"/>
      <w:szCs w:val="20"/>
      <w:lang w:eastAsia="en-US"/>
    </w:rPr>
  </w:style>
  <w:style w:type="character" w:customStyle="1" w:styleId="normal-h1">
    <w:name w:val="normal-h1"/>
    <w:rPr>
      <w:rFonts w:ascii=".VnTime" w:hAnsi=".VnTime" w:hint="default"/>
      <w:sz w:val="28"/>
      <w:szCs w:val="28"/>
    </w:rPr>
  </w:style>
  <w:style w:type="character" w:customStyle="1" w:styleId="FooterChar">
    <w:name w:val="Footer Char"/>
    <w:basedOn w:val="DefaultParagraphFont"/>
    <w:link w:val="Footer"/>
    <w:uiPriority w:val="99"/>
    <w:rPr>
      <w:sz w:val="24"/>
      <w:szCs w:val="24"/>
      <w:lang w:val="en-US" w:eastAsia="ja-JP"/>
    </w:rPr>
  </w:style>
  <w:style w:type="character" w:customStyle="1" w:styleId="Normal-h10">
    <w:name w:val="Normal-h1"/>
    <w:rPr>
      <w:rFonts w:ascii="Times New Roman" w:hAnsi="Times New Roman"/>
      <w:color w:val="0000FF"/>
      <w:sz w:val="24"/>
    </w:rPr>
  </w:style>
  <w:style w:type="paragraph" w:customStyle="1" w:styleId="Normal-p0">
    <w:name w:val="Normal-p"/>
    <w:basedOn w:val="Normal"/>
    <w:pPr>
      <w:jc w:val="both"/>
    </w:pPr>
    <w:rPr>
      <w:sz w:val="20"/>
      <w:szCs w:val="20"/>
      <w:lang w:eastAsia="en-US"/>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3493">
      <w:bodyDiv w:val="1"/>
      <w:marLeft w:val="0"/>
      <w:marRight w:val="0"/>
      <w:marTop w:val="0"/>
      <w:marBottom w:val="0"/>
      <w:divBdr>
        <w:top w:val="none" w:sz="0" w:space="0" w:color="auto"/>
        <w:left w:val="none" w:sz="0" w:space="0" w:color="auto"/>
        <w:bottom w:val="none" w:sz="0" w:space="0" w:color="auto"/>
        <w:right w:val="none" w:sz="0" w:space="0" w:color="auto"/>
      </w:divBdr>
    </w:div>
    <w:div w:id="369963549">
      <w:bodyDiv w:val="1"/>
      <w:marLeft w:val="0"/>
      <w:marRight w:val="0"/>
      <w:marTop w:val="0"/>
      <w:marBottom w:val="0"/>
      <w:divBdr>
        <w:top w:val="none" w:sz="0" w:space="0" w:color="auto"/>
        <w:left w:val="none" w:sz="0" w:space="0" w:color="auto"/>
        <w:bottom w:val="none" w:sz="0" w:space="0" w:color="auto"/>
        <w:right w:val="none" w:sz="0" w:space="0" w:color="auto"/>
      </w:divBdr>
    </w:div>
    <w:div w:id="1314260950">
      <w:bodyDiv w:val="1"/>
      <w:marLeft w:val="0"/>
      <w:marRight w:val="0"/>
      <w:marTop w:val="0"/>
      <w:marBottom w:val="0"/>
      <w:divBdr>
        <w:top w:val="none" w:sz="0" w:space="0" w:color="auto"/>
        <w:left w:val="none" w:sz="0" w:space="0" w:color="auto"/>
        <w:bottom w:val="none" w:sz="0" w:space="0" w:color="auto"/>
        <w:right w:val="none" w:sz="0" w:space="0" w:color="auto"/>
      </w:divBdr>
    </w:div>
    <w:div w:id="1653286939">
      <w:bodyDiv w:val="1"/>
      <w:marLeft w:val="0"/>
      <w:marRight w:val="0"/>
      <w:marTop w:val="0"/>
      <w:marBottom w:val="0"/>
      <w:divBdr>
        <w:top w:val="none" w:sz="0" w:space="0" w:color="auto"/>
        <w:left w:val="none" w:sz="0" w:space="0" w:color="auto"/>
        <w:bottom w:val="none" w:sz="0" w:space="0" w:color="auto"/>
        <w:right w:val="none" w:sz="0" w:space="0" w:color="auto"/>
      </w:divBdr>
    </w:div>
    <w:div w:id="1669865173">
      <w:bodyDiv w:val="1"/>
      <w:marLeft w:val="0"/>
      <w:marRight w:val="0"/>
      <w:marTop w:val="0"/>
      <w:marBottom w:val="0"/>
      <w:divBdr>
        <w:top w:val="none" w:sz="0" w:space="0" w:color="auto"/>
        <w:left w:val="none" w:sz="0" w:space="0" w:color="auto"/>
        <w:bottom w:val="none" w:sz="0" w:space="0" w:color="auto"/>
        <w:right w:val="none" w:sz="0" w:space="0" w:color="auto"/>
      </w:divBdr>
    </w:div>
    <w:div w:id="197074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Dự thảo 25-9</vt:lpstr>
    </vt:vector>
  </TitlesOfParts>
  <Company>VPQH</Company>
  <LinksUpToDate>false</LinksUpToDate>
  <CharactersWithSpaces>11765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thảo 25-9</dc:title>
  <dc:creator>Nguyen Thi Hong Chuo</dc:creator>
  <cp:lastModifiedBy>Pro</cp:lastModifiedBy>
  <cp:revision>2</cp:revision>
  <cp:lastPrinted>2024-02-19T00:54:00Z</cp:lastPrinted>
  <dcterms:created xsi:type="dcterms:W3CDTF">2024-03-19T02:31:00Z</dcterms:created>
  <dcterms:modified xsi:type="dcterms:W3CDTF">2024-03-19T02:31:00Z</dcterms:modified>
</cp:coreProperties>
</file>