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5" w:type="dxa"/>
        <w:tblInd w:w="-453" w:type="dxa"/>
        <w:tblLayout w:type="fixed"/>
        <w:tblLook w:val="0000" w:firstRow="0" w:lastRow="0" w:firstColumn="0" w:lastColumn="0" w:noHBand="0" w:noVBand="0"/>
      </w:tblPr>
      <w:tblGrid>
        <w:gridCol w:w="3714"/>
        <w:gridCol w:w="6571"/>
      </w:tblGrid>
      <w:tr w:rsidR="005259F5" w:rsidRPr="0098602E" w:rsidTr="002E6B35">
        <w:tc>
          <w:tcPr>
            <w:tcW w:w="3714" w:type="dxa"/>
          </w:tcPr>
          <w:p w:rsidR="005259F5" w:rsidRPr="0098602E" w:rsidRDefault="005259F5" w:rsidP="002E6B35">
            <w:pPr>
              <w:pStyle w:val="Heading4"/>
              <w:keepNext w:val="0"/>
              <w:widowControl w:val="0"/>
              <w:ind w:left="-113" w:right="-113"/>
              <w:rPr>
                <w:rFonts w:ascii="Times New Roman" w:hAnsi="Times New Roman"/>
                <w:bCs/>
                <w:sz w:val="26"/>
              </w:rPr>
            </w:pPr>
            <w:bookmarkStart w:id="0" w:name="_GoBack"/>
            <w:bookmarkEnd w:id="0"/>
            <w:r w:rsidRPr="0098602E">
              <w:rPr>
                <w:rFonts w:ascii="Times New Roman" w:hAnsi="Times New Roman"/>
                <w:bCs/>
                <w:sz w:val="26"/>
              </w:rPr>
              <w:t>HỘI ĐỒNG NHÂN DÂN</w:t>
            </w:r>
          </w:p>
        </w:tc>
        <w:tc>
          <w:tcPr>
            <w:tcW w:w="6571" w:type="dxa"/>
          </w:tcPr>
          <w:p w:rsidR="005259F5" w:rsidRPr="0098602E" w:rsidRDefault="005259F5" w:rsidP="002E6B35">
            <w:pPr>
              <w:pStyle w:val="Heading4"/>
              <w:keepNext w:val="0"/>
              <w:widowControl w:val="0"/>
              <w:ind w:left="-108" w:right="-108"/>
              <w:rPr>
                <w:rFonts w:ascii="Times New Roman" w:hAnsi="Times New Roman"/>
                <w:sz w:val="26"/>
              </w:rPr>
            </w:pPr>
            <w:r w:rsidRPr="0098602E">
              <w:rPr>
                <w:rFonts w:ascii="Times New Roman" w:hAnsi="Times New Roman"/>
                <w:sz w:val="26"/>
              </w:rPr>
              <w:t xml:space="preserve"> CỘNG HÒA XÃ HỘI CHỦ NGHĨA VIỆT NAM</w:t>
            </w:r>
          </w:p>
        </w:tc>
      </w:tr>
      <w:tr w:rsidR="005259F5" w:rsidRPr="0098602E" w:rsidTr="002E6B35">
        <w:trPr>
          <w:trHeight w:val="699"/>
        </w:trPr>
        <w:tc>
          <w:tcPr>
            <w:tcW w:w="3714" w:type="dxa"/>
          </w:tcPr>
          <w:p w:rsidR="005259F5" w:rsidRDefault="005259F5" w:rsidP="002E6B35">
            <w:pPr>
              <w:pStyle w:val="Heading3"/>
              <w:keepNext w:val="0"/>
              <w:widowControl w:val="0"/>
              <w:spacing w:after="120"/>
              <w:ind w:left="27" w:hanging="27"/>
              <w:rPr>
                <w:rFonts w:ascii="Times New Roman" w:hAnsi="Times New Roman"/>
              </w:rPr>
            </w:pPr>
            <w:r>
              <w:rPr>
                <w:noProof/>
                <w:sz w:val="20"/>
              </w:rPr>
              <mc:AlternateContent>
                <mc:Choice Requires="wps">
                  <w:drawing>
                    <wp:anchor distT="4294967295" distB="4294967295" distL="114300" distR="114300" simplePos="0" relativeHeight="251661312" behindDoc="0" locked="0" layoutInCell="1" allowOverlap="1" wp14:anchorId="137A6F9F" wp14:editId="5B18EDB8">
                      <wp:simplePos x="0" y="0"/>
                      <wp:positionH relativeFrom="column">
                        <wp:posOffset>807085</wp:posOffset>
                      </wp:positionH>
                      <wp:positionV relativeFrom="paragraph">
                        <wp:posOffset>188595</wp:posOffset>
                      </wp:positionV>
                      <wp:extent cx="656590" cy="0"/>
                      <wp:effectExtent l="0" t="0" r="1016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17B21"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5pt,14.85pt" to="115.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juM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"/>
                  </w:pict>
                </mc:Fallback>
              </mc:AlternateContent>
            </w:r>
            <w:r w:rsidRPr="0098602E">
              <w:rPr>
                <w:rFonts w:ascii="Times New Roman" w:hAnsi="Times New Roman"/>
              </w:rPr>
              <w:t xml:space="preserve">TỈNH </w:t>
            </w:r>
            <w:r>
              <w:rPr>
                <w:rFonts w:ascii="Times New Roman" w:hAnsi="Times New Roman"/>
              </w:rPr>
              <w:t>HÀ TĨNH</w:t>
            </w:r>
          </w:p>
          <w:p w:rsidR="005259F5" w:rsidRPr="00944BEB" w:rsidRDefault="005259F5" w:rsidP="002E6B35">
            <w:pPr>
              <w:jc w:val="center"/>
              <w:rPr>
                <w:sz w:val="26"/>
                <w:szCs w:val="26"/>
              </w:rPr>
            </w:pPr>
            <w:r w:rsidRPr="00944BEB">
              <w:rPr>
                <w:sz w:val="26"/>
                <w:szCs w:val="26"/>
              </w:rPr>
              <w:t>Số:</w:t>
            </w:r>
            <w:r w:rsidR="003F768D">
              <w:rPr>
                <w:sz w:val="26"/>
                <w:szCs w:val="26"/>
              </w:rPr>
              <w:t xml:space="preserve"> 744</w:t>
            </w:r>
            <w:r w:rsidRPr="00944BEB">
              <w:rPr>
                <w:sz w:val="26"/>
                <w:szCs w:val="26"/>
              </w:rPr>
              <w:t>/BC-HĐND</w:t>
            </w:r>
          </w:p>
        </w:tc>
        <w:tc>
          <w:tcPr>
            <w:tcW w:w="6571" w:type="dxa"/>
          </w:tcPr>
          <w:p w:rsidR="005259F5" w:rsidRDefault="005259F5" w:rsidP="002E6B35">
            <w:pPr>
              <w:pStyle w:val="Heading2"/>
              <w:keepNext w:val="0"/>
              <w:widowControl w:val="0"/>
              <w:spacing w:after="120"/>
              <w:ind w:left="-108" w:right="-108" w:firstLine="0"/>
              <w:jc w:val="center"/>
              <w:rPr>
                <w:rFonts w:ascii="Times New Roman" w:hAnsi="Times New Roman"/>
              </w:rPr>
            </w:pPr>
            <w:r>
              <w:rPr>
                <w:noProof/>
                <w:sz w:val="20"/>
              </w:rPr>
              <mc:AlternateContent>
                <mc:Choice Requires="wps">
                  <w:drawing>
                    <wp:anchor distT="4294967295" distB="4294967295" distL="114300" distR="114300" simplePos="0" relativeHeight="251659264" behindDoc="0" locked="0" layoutInCell="1" allowOverlap="1" wp14:anchorId="66648635" wp14:editId="397D7B57">
                      <wp:simplePos x="0" y="0"/>
                      <wp:positionH relativeFrom="column">
                        <wp:posOffset>1111885</wp:posOffset>
                      </wp:positionH>
                      <wp:positionV relativeFrom="paragraph">
                        <wp:posOffset>207645</wp:posOffset>
                      </wp:positionV>
                      <wp:extent cx="1877060" cy="0"/>
                      <wp:effectExtent l="0" t="0" r="2794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3FD17"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55pt,16.35pt" to="235.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pD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"/>
                  </w:pict>
                </mc:Fallback>
              </mc:AlternateContent>
            </w:r>
            <w:r w:rsidRPr="0098602E">
              <w:rPr>
                <w:rFonts w:ascii="Times New Roman" w:hAnsi="Times New Roman" w:hint="eastAsia"/>
              </w:rPr>
              <w:t>Đ</w:t>
            </w:r>
            <w:r w:rsidRPr="0098602E">
              <w:rPr>
                <w:rFonts w:ascii="Times New Roman" w:hAnsi="Times New Roman"/>
              </w:rPr>
              <w:t>ộc lập  -  Tự do  -  Hạnh phúc</w:t>
            </w:r>
          </w:p>
          <w:p w:rsidR="005259F5" w:rsidRPr="00944BEB" w:rsidRDefault="005259F5" w:rsidP="002E6B35">
            <w:pPr>
              <w:jc w:val="center"/>
              <w:rPr>
                <w:i/>
              </w:rPr>
            </w:pPr>
            <w:r>
              <w:rPr>
                <w:i/>
                <w:iCs/>
              </w:rPr>
              <w:t xml:space="preserve">   </w:t>
            </w:r>
            <w:r w:rsidRPr="00944BEB">
              <w:rPr>
                <w:i/>
                <w:iCs/>
              </w:rPr>
              <w:t>Hà Tĩnh, ngày</w:t>
            </w:r>
            <w:r w:rsidR="003F768D">
              <w:rPr>
                <w:i/>
                <w:iCs/>
              </w:rPr>
              <w:t xml:space="preserve"> 06</w:t>
            </w:r>
            <w:r>
              <w:rPr>
                <w:i/>
                <w:iCs/>
              </w:rPr>
              <w:t xml:space="preserve"> tháng 12</w:t>
            </w:r>
            <w:r w:rsidRPr="00944BEB">
              <w:rPr>
                <w:i/>
                <w:iCs/>
              </w:rPr>
              <w:t xml:space="preserve"> n</w:t>
            </w:r>
            <w:r w:rsidRPr="00944BEB">
              <w:rPr>
                <w:rFonts w:hint="eastAsia"/>
                <w:i/>
                <w:iCs/>
              </w:rPr>
              <w:t>ă</w:t>
            </w:r>
            <w:r w:rsidRPr="00944BEB">
              <w:rPr>
                <w:i/>
                <w:iCs/>
              </w:rPr>
              <w:t>m 201</w:t>
            </w:r>
            <w:r>
              <w:rPr>
                <w:i/>
                <w:iCs/>
              </w:rPr>
              <w:t>9</w:t>
            </w:r>
          </w:p>
        </w:tc>
      </w:tr>
      <w:tr w:rsidR="005259F5" w:rsidRPr="0098602E" w:rsidTr="002E6B35">
        <w:trPr>
          <w:trHeight w:val="65"/>
        </w:trPr>
        <w:tc>
          <w:tcPr>
            <w:tcW w:w="3714" w:type="dxa"/>
          </w:tcPr>
          <w:p w:rsidR="005259F5" w:rsidRPr="0098602E" w:rsidRDefault="005259F5" w:rsidP="002E6B35">
            <w:pPr>
              <w:widowControl w:val="0"/>
              <w:jc w:val="center"/>
            </w:pPr>
          </w:p>
        </w:tc>
        <w:tc>
          <w:tcPr>
            <w:tcW w:w="6571" w:type="dxa"/>
          </w:tcPr>
          <w:p w:rsidR="005259F5" w:rsidRPr="0098602E" w:rsidRDefault="005259F5" w:rsidP="002E6B35">
            <w:pPr>
              <w:widowControl w:val="0"/>
              <w:jc w:val="center"/>
            </w:pPr>
          </w:p>
        </w:tc>
      </w:tr>
      <w:tr w:rsidR="005259F5" w:rsidRPr="00712F4C" w:rsidTr="002E6B35">
        <w:trPr>
          <w:trHeight w:val="65"/>
        </w:trPr>
        <w:tc>
          <w:tcPr>
            <w:tcW w:w="3714" w:type="dxa"/>
          </w:tcPr>
          <w:p w:rsidR="005259F5" w:rsidRPr="00794493" w:rsidRDefault="005259F5" w:rsidP="002E6B35">
            <w:pPr>
              <w:pStyle w:val="Heading6"/>
              <w:keepNext w:val="0"/>
              <w:widowControl w:val="0"/>
              <w:ind w:hanging="108"/>
              <w:jc w:val="center"/>
              <w:rPr>
                <w:b/>
                <w:i/>
                <w:sz w:val="32"/>
                <w:szCs w:val="32"/>
                <w:u w:val="single"/>
              </w:rPr>
            </w:pPr>
          </w:p>
        </w:tc>
        <w:tc>
          <w:tcPr>
            <w:tcW w:w="6571" w:type="dxa"/>
          </w:tcPr>
          <w:p w:rsidR="005259F5" w:rsidRPr="00712F4C" w:rsidRDefault="005259F5" w:rsidP="002E6B35">
            <w:pPr>
              <w:pStyle w:val="Heading1"/>
              <w:keepNext w:val="0"/>
              <w:widowControl w:val="0"/>
              <w:ind w:firstLine="0"/>
              <w:jc w:val="left"/>
              <w:rPr>
                <w:rFonts w:ascii="Times New Roman" w:hAnsi="Times New Roman"/>
                <w:b w:val="0"/>
                <w:iCs/>
              </w:rPr>
            </w:pPr>
          </w:p>
        </w:tc>
      </w:tr>
    </w:tbl>
    <w:p w:rsidR="005259F5" w:rsidRPr="00712F4C" w:rsidRDefault="005259F5" w:rsidP="005259F5">
      <w:pPr>
        <w:pStyle w:val="Heading4"/>
        <w:keepNext w:val="0"/>
        <w:widowControl w:val="0"/>
        <w:rPr>
          <w:rFonts w:ascii="Times New Roman" w:hAnsi="Times New Roman"/>
          <w:bCs/>
          <w:sz w:val="28"/>
          <w:szCs w:val="28"/>
        </w:rPr>
      </w:pPr>
      <w:r w:rsidRPr="00712F4C">
        <w:rPr>
          <w:rFonts w:ascii="Times New Roman" w:hAnsi="Times New Roman"/>
          <w:bCs/>
          <w:sz w:val="28"/>
          <w:szCs w:val="28"/>
        </w:rPr>
        <w:t>BÁO CÁO</w:t>
      </w:r>
      <w:r>
        <w:rPr>
          <w:rFonts w:ascii="Times New Roman" w:hAnsi="Times New Roman"/>
          <w:bCs/>
          <w:sz w:val="28"/>
          <w:szCs w:val="28"/>
        </w:rPr>
        <w:t xml:space="preserve"> </w:t>
      </w:r>
    </w:p>
    <w:p w:rsidR="005259F5" w:rsidRDefault="005259F5" w:rsidP="005259F5">
      <w:pPr>
        <w:jc w:val="center"/>
        <w:rPr>
          <w:b/>
          <w:bCs/>
        </w:rPr>
      </w:pPr>
      <w:r>
        <w:rPr>
          <w:b/>
        </w:rPr>
        <w:t xml:space="preserve">Thẩm tra </w:t>
      </w:r>
      <w:r w:rsidRPr="00712F4C">
        <w:rPr>
          <w:b/>
        </w:rPr>
        <w:t xml:space="preserve">Tờ trình </w:t>
      </w:r>
      <w:r>
        <w:rPr>
          <w:b/>
        </w:rPr>
        <w:t xml:space="preserve">và dự thảo Nghị quyết về việc </w:t>
      </w:r>
      <w:r>
        <w:rPr>
          <w:b/>
          <w:lang w:val="nb-NO"/>
        </w:rPr>
        <w:t>quy định</w:t>
      </w:r>
      <w:r w:rsidRPr="00D64428">
        <w:rPr>
          <w:b/>
          <w:lang w:val="nb-NO"/>
        </w:rPr>
        <w:t xml:space="preserve"> c</w:t>
      </w:r>
      <w:r w:rsidRPr="00D64428">
        <w:rPr>
          <w:b/>
          <w:bCs/>
        </w:rPr>
        <w:t>hính sách</w:t>
      </w:r>
    </w:p>
    <w:p w:rsidR="005259F5" w:rsidRDefault="005259F5" w:rsidP="005259F5">
      <w:pPr>
        <w:jc w:val="center"/>
        <w:rPr>
          <w:b/>
          <w:bCs/>
        </w:rPr>
      </w:pPr>
      <w:r w:rsidRPr="00D64428">
        <w:rPr>
          <w:b/>
          <w:bCs/>
        </w:rPr>
        <w:t xml:space="preserve"> hỗ trợ </w:t>
      </w:r>
      <w:r>
        <w:rPr>
          <w:b/>
          <w:bCs/>
        </w:rPr>
        <w:t>thu nhập cho các thành viên hộ nghèo thuộc chính sách bảo trợ xã hội trên địa bàn tỉnh giai đoạn 2020-2025</w:t>
      </w:r>
    </w:p>
    <w:p w:rsidR="00931511" w:rsidRPr="00931511" w:rsidRDefault="00931511" w:rsidP="005259F5">
      <w:pPr>
        <w:jc w:val="center"/>
        <w:rPr>
          <w:bCs/>
          <w:i/>
        </w:rPr>
      </w:pPr>
      <w:r w:rsidRPr="00931511">
        <w:rPr>
          <w:bCs/>
          <w:i/>
        </w:rPr>
        <w:t>(Trình tại Kỳ họp thứ 12, HĐND tỉnh khóa XVII)</w:t>
      </w:r>
    </w:p>
    <w:p w:rsidR="005259F5" w:rsidRPr="003F768D" w:rsidRDefault="005259F5" w:rsidP="003F768D">
      <w:pPr>
        <w:jc w:val="center"/>
        <w:rPr>
          <w:b/>
        </w:rPr>
      </w:pPr>
      <w:r w:rsidRPr="00712F4C">
        <w:rPr>
          <w:b/>
          <w:bCs/>
          <w:noProof/>
          <w:szCs w:val="28"/>
        </w:rPr>
        <mc:AlternateContent>
          <mc:Choice Requires="wps">
            <w:drawing>
              <wp:anchor distT="4294967295" distB="4294967295" distL="114300" distR="114300" simplePos="0" relativeHeight="251660288" behindDoc="0" locked="0" layoutInCell="1" allowOverlap="1" wp14:anchorId="1DF19B83" wp14:editId="58E7C170">
                <wp:simplePos x="0" y="0"/>
                <wp:positionH relativeFrom="column">
                  <wp:posOffset>2153920</wp:posOffset>
                </wp:positionH>
                <wp:positionV relativeFrom="paragraph">
                  <wp:posOffset>74294</wp:posOffset>
                </wp:positionV>
                <wp:extent cx="1676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F9FBC" id="Line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6pt,5.85pt" to="301.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K4GA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"/>
            </w:pict>
          </mc:Fallback>
        </mc:AlternateContent>
      </w:r>
    </w:p>
    <w:p w:rsidR="005259F5" w:rsidRPr="00712F4C" w:rsidRDefault="005259F5" w:rsidP="005259F5">
      <w:pPr>
        <w:widowControl w:val="0"/>
        <w:jc w:val="both"/>
        <w:rPr>
          <w:sz w:val="10"/>
        </w:rPr>
      </w:pPr>
      <w:r w:rsidRPr="00712F4C">
        <w:tab/>
      </w:r>
    </w:p>
    <w:p w:rsidR="005259F5" w:rsidRPr="00C228CC" w:rsidRDefault="005259F5" w:rsidP="00A84AD9">
      <w:pPr>
        <w:spacing w:line="420" w:lineRule="exact"/>
        <w:ind w:firstLine="720"/>
        <w:jc w:val="both"/>
        <w:outlineLvl w:val="0"/>
      </w:pPr>
      <w:r w:rsidRPr="00712F4C">
        <w:t xml:space="preserve">Thực hiện Luật tổ chức chính quyền địa phương năm 2015 và </w:t>
      </w:r>
      <w:r w:rsidRPr="00712F4C">
        <w:rPr>
          <w:szCs w:val="28"/>
        </w:rPr>
        <w:t xml:space="preserve">phân công của Thường trực Hội đồng nhân dân tỉnh, </w:t>
      </w:r>
      <w:r>
        <w:rPr>
          <w:szCs w:val="28"/>
        </w:rPr>
        <w:t>Ban Văn hóa - X</w:t>
      </w:r>
      <w:r w:rsidRPr="00712F4C">
        <w:rPr>
          <w:szCs w:val="28"/>
        </w:rPr>
        <w:t xml:space="preserve">ã hội </w:t>
      </w:r>
      <w:r>
        <w:rPr>
          <w:szCs w:val="28"/>
        </w:rPr>
        <w:t xml:space="preserve">Hội đồng nhân dân tỉnh </w:t>
      </w:r>
      <w:r w:rsidRPr="00712F4C">
        <w:rPr>
          <w:szCs w:val="28"/>
        </w:rPr>
        <w:t xml:space="preserve">đã tiến hành thẩm tra Tờ trình số </w:t>
      </w:r>
      <w:r>
        <w:rPr>
          <w:szCs w:val="28"/>
          <w:lang w:val="nl-NL"/>
        </w:rPr>
        <w:t>396</w:t>
      </w:r>
      <w:r w:rsidRPr="00712F4C">
        <w:rPr>
          <w:szCs w:val="28"/>
          <w:lang w:val="nl-NL"/>
        </w:rPr>
        <w:t xml:space="preserve">/TTr-UBND </w:t>
      </w:r>
      <w:r>
        <w:rPr>
          <w:iCs/>
          <w:szCs w:val="28"/>
        </w:rPr>
        <w:t>ngày 27 tháng 11 năm 2019</w:t>
      </w:r>
      <w:r w:rsidRPr="00712F4C">
        <w:rPr>
          <w:iCs/>
          <w:szCs w:val="28"/>
        </w:rPr>
        <w:t xml:space="preserve"> của Uỷ ban nhân dân tỉnh</w:t>
      </w:r>
      <w:r>
        <w:rPr>
          <w:iCs/>
          <w:szCs w:val="28"/>
        </w:rPr>
        <w:t xml:space="preserve"> kèm theo dự thảo Nghị quyết</w:t>
      </w:r>
      <w:r w:rsidRPr="00712F4C">
        <w:t>, kết quả thẩm tra như sau:</w:t>
      </w:r>
    </w:p>
    <w:p w:rsidR="005259F5" w:rsidRDefault="005259F5" w:rsidP="00A84AD9">
      <w:pPr>
        <w:spacing w:line="420" w:lineRule="exact"/>
        <w:ind w:firstLine="737"/>
        <w:jc w:val="both"/>
        <w:rPr>
          <w:b/>
        </w:rPr>
      </w:pPr>
      <w:r w:rsidRPr="002A2E7C">
        <w:rPr>
          <w:b/>
        </w:rPr>
        <w:t>1. Về sự cần thiết</w:t>
      </w:r>
      <w:r>
        <w:rPr>
          <w:b/>
        </w:rPr>
        <w:t xml:space="preserve"> phải</w:t>
      </w:r>
      <w:r w:rsidRPr="002A2E7C">
        <w:rPr>
          <w:b/>
        </w:rPr>
        <w:t xml:space="preserve"> ban hành Nghị quyết</w:t>
      </w:r>
    </w:p>
    <w:p w:rsidR="005259F5" w:rsidRPr="001E3BE2" w:rsidRDefault="005259F5" w:rsidP="00A84AD9">
      <w:pPr>
        <w:spacing w:line="420" w:lineRule="exact"/>
        <w:ind w:firstLine="737"/>
        <w:jc w:val="both"/>
        <w:rPr>
          <w:lang w:val="sq-AL"/>
        </w:rPr>
      </w:pPr>
      <w:r>
        <w:t>T</w:t>
      </w:r>
      <w:r w:rsidRPr="008F331F">
        <w:t>hực hiện Quyết định số 1722/QĐ-TTg ngày 02/9/2016 của Thủ tướng Chính phủ về việc phê duyệt Chương trình mục tiêu quốc gia giảm nghèo bền v</w:t>
      </w:r>
      <w:r>
        <w:t xml:space="preserve">ững giai đoạn 2016-2020; </w:t>
      </w:r>
      <w:r w:rsidRPr="008F331F">
        <w:t>Nghị quyết số 76/2014/QH13 ngày 24/6/2014 của Quốc hội về đẩy mạnh thực hiện mục tiêu giảm nghèo bền vững đến năm 2020</w:t>
      </w:r>
      <w:r w:rsidRPr="008F331F">
        <w:rPr>
          <w:vertAlign w:val="superscript"/>
        </w:rPr>
        <w:footnoteReference w:id="1"/>
      </w:r>
      <w:r>
        <w:t>,</w:t>
      </w:r>
      <w:r w:rsidRPr="008F331F">
        <w:t xml:space="preserve"> </w:t>
      </w:r>
      <w:r w:rsidRPr="00EC2F7D">
        <w:t xml:space="preserve">ngày 15/12/2016, tại kỳ họp thứ 3, HĐND tỉnh khóa XVII  đã ban hành Nghị quyết số 35/NQ-HĐND về phê duyệt đề án giảm nghèo bền vững tỉnh Hà Tĩnh giai đoạn 2016 </w:t>
      </w:r>
      <w:r>
        <w:t>-</w:t>
      </w:r>
      <w:r w:rsidRPr="00EC2F7D">
        <w:t xml:space="preserve"> 2020</w:t>
      </w:r>
      <w:r>
        <w:t xml:space="preserve">. Qua 3 năm triển khai thực hiện, </w:t>
      </w:r>
      <w:r>
        <w:rPr>
          <w:lang w:val="nb-NO"/>
        </w:rPr>
        <w:t>k</w:t>
      </w:r>
      <w:r w:rsidRPr="000541B4">
        <w:rPr>
          <w:lang w:val="nb-NO"/>
        </w:rPr>
        <w:t xml:space="preserve">ết quả giảm nghèo </w:t>
      </w:r>
      <w:r>
        <w:rPr>
          <w:lang w:val="nb-NO"/>
        </w:rPr>
        <w:t xml:space="preserve">trên địa bàn tỉnh đã </w:t>
      </w:r>
      <w:r w:rsidRPr="000541B4">
        <w:rPr>
          <w:lang w:val="nb-NO"/>
        </w:rPr>
        <w:t xml:space="preserve">đạt và vượt các mục tiêu, chỉ tiêu đề ra </w:t>
      </w:r>
      <w:r>
        <w:rPr>
          <w:lang w:val="nb-NO"/>
        </w:rPr>
        <w:t xml:space="preserve">trong Nghị quyết </w:t>
      </w:r>
      <w:r w:rsidRPr="000541B4">
        <w:rPr>
          <w:lang w:val="nb-NO"/>
        </w:rPr>
        <w:t>(4/4 mục tiêu, 8/8 chỉ tiêu)</w:t>
      </w:r>
      <w:r>
        <w:rPr>
          <w:lang w:val="sq-AL"/>
        </w:rPr>
        <w:t xml:space="preserve">. </w:t>
      </w:r>
      <w:r>
        <w:rPr>
          <w:lang w:val="sv-SE"/>
        </w:rPr>
        <w:t xml:space="preserve">Tuy vậy, </w:t>
      </w:r>
      <w:r w:rsidRPr="00DE09E1">
        <w:rPr>
          <w:lang w:val="sv-SE"/>
        </w:rPr>
        <w:t xml:space="preserve">kết quả giảm nghèo chưa </w:t>
      </w:r>
      <w:r>
        <w:rPr>
          <w:lang w:val="sv-SE"/>
        </w:rPr>
        <w:t xml:space="preserve">thực sự </w:t>
      </w:r>
      <w:r w:rsidRPr="00DE09E1">
        <w:rPr>
          <w:lang w:val="sv-SE"/>
        </w:rPr>
        <w:t xml:space="preserve">bền vững; đời sống của </w:t>
      </w:r>
      <w:r>
        <w:rPr>
          <w:lang w:val="sv-SE"/>
        </w:rPr>
        <w:t xml:space="preserve">một </w:t>
      </w:r>
      <w:r w:rsidRPr="00DE09E1">
        <w:rPr>
          <w:lang w:val="sv-SE"/>
        </w:rPr>
        <w:t xml:space="preserve">bộ phận hộ nghèo sau khi thoát nghèo chưa thay đổi đáng kể; tỷ lệ hộ nghèo còn </w:t>
      </w:r>
      <w:r>
        <w:rPr>
          <w:lang w:val="sv-SE"/>
        </w:rPr>
        <w:t xml:space="preserve">5,82%, </w:t>
      </w:r>
      <w:r w:rsidRPr="00DE09E1">
        <w:rPr>
          <w:lang w:val="sv-SE"/>
        </w:rPr>
        <w:t>cao</w:t>
      </w:r>
      <w:r>
        <w:rPr>
          <w:lang w:val="sv-SE"/>
        </w:rPr>
        <w:t xml:space="preserve"> hơn mức bình quân của cả nước</w:t>
      </w:r>
      <w:r w:rsidRPr="00DE09E1">
        <w:rPr>
          <w:lang w:val="sv-SE"/>
        </w:rPr>
        <w:t>.</w:t>
      </w:r>
      <w:r>
        <w:rPr>
          <w:lang w:val="sv-SE"/>
        </w:rPr>
        <w:t xml:space="preserve"> </w:t>
      </w:r>
      <w:r w:rsidRPr="009F2333">
        <w:rPr>
          <w:lang w:val="sv-SE"/>
        </w:rPr>
        <w:t>Trong tổng số 21.969 hộ nghèo</w:t>
      </w:r>
      <w:r>
        <w:rPr>
          <w:lang w:val="sv-SE"/>
        </w:rPr>
        <w:t xml:space="preserve">, </w:t>
      </w:r>
      <w:r w:rsidRPr="00DE09E1">
        <w:rPr>
          <w:lang w:val="sv-SE"/>
        </w:rPr>
        <w:t>có 10.834 hộ nghèo</w:t>
      </w:r>
      <w:r w:rsidR="00CC7686">
        <w:rPr>
          <w:lang w:val="sv-SE"/>
        </w:rPr>
        <w:t xml:space="preserve"> thuộc chính sách bảo trợ xã hội</w:t>
      </w:r>
      <w:r w:rsidRPr="00C63A4D">
        <w:rPr>
          <w:color w:val="FF0000"/>
          <w:lang w:val="sv-SE"/>
        </w:rPr>
        <w:t xml:space="preserve">. </w:t>
      </w:r>
      <w:r>
        <w:rPr>
          <w:lang w:val="sv-SE"/>
        </w:rPr>
        <w:t xml:space="preserve">Để khắc phục những khó khăn nêu trên, tại kỳ họp thứ 10, Hội đồng nhân dân tỉnh tiếp tục ban hành Nghị quyết số 151/2019/NQ-HĐND bổ sung một số chính sách giảm nghèo trên địa bàn tỉnh Hà Tĩnh. Tuy nhiên, theo </w:t>
      </w:r>
      <w:r w:rsidR="00CC7686">
        <w:rPr>
          <w:lang w:val="sv-SE"/>
        </w:rPr>
        <w:t>nội dung báo cáo tại T</w:t>
      </w:r>
      <w:r>
        <w:rPr>
          <w:lang w:val="sv-SE"/>
        </w:rPr>
        <w:t>ờ trình của Ủy ban nhân dân tỉnh thì vẫn còn 9.429 hộ không có khả năng</w:t>
      </w:r>
      <w:r w:rsidRPr="00DE09E1">
        <w:rPr>
          <w:lang w:val="sv-SE"/>
        </w:rPr>
        <w:t xml:space="preserve"> thoát nghèo</w:t>
      </w:r>
      <w:r>
        <w:rPr>
          <w:lang w:val="sv-SE"/>
        </w:rPr>
        <w:t xml:space="preserve"> nếu không có sự hỗ trợ từ chính sách</w:t>
      </w:r>
      <w:r w:rsidRPr="00DE09E1">
        <w:rPr>
          <w:lang w:val="sv-SE"/>
        </w:rPr>
        <w:t>.</w:t>
      </w:r>
      <w:r>
        <w:rPr>
          <w:lang w:val="sv-SE"/>
        </w:rPr>
        <w:t xml:space="preserve"> </w:t>
      </w:r>
    </w:p>
    <w:p w:rsidR="005259F5" w:rsidRPr="00D95D59" w:rsidRDefault="005259F5" w:rsidP="00A84AD9">
      <w:pPr>
        <w:spacing w:line="420" w:lineRule="exact"/>
        <w:ind w:firstLine="737"/>
        <w:jc w:val="both"/>
      </w:pPr>
      <w:r>
        <w:rPr>
          <w:lang w:val="vi-VN"/>
        </w:rPr>
        <w:t xml:space="preserve">Bằng việc </w:t>
      </w:r>
      <w:r>
        <w:t xml:space="preserve">hỗ trợ một phần từ ngân sách, nâng cao thu nhập cho các đối tượng khó khăn, yếu thế có điều kiện vươn lên, rút ngắn khoảng cách giàu nghèo giữa các </w:t>
      </w:r>
      <w:r>
        <w:lastRenderedPageBreak/>
        <w:t xml:space="preserve">thành phần trong xã hội; góp phần </w:t>
      </w:r>
      <w:r w:rsidRPr="00374988">
        <w:rPr>
          <w:lang w:val="vi-VN"/>
        </w:rPr>
        <w:t>thực hiện thành công chương trình giảm nghèo bền vững giai đoạn 2016 - 2020, việc</w:t>
      </w:r>
      <w:r>
        <w:t xml:space="preserve"> Ủy ban nhân tỉnh trình Hội đồng nhân dân tỉnh</w:t>
      </w:r>
      <w:r w:rsidRPr="00374988">
        <w:rPr>
          <w:lang w:val="vi-VN"/>
        </w:rPr>
        <w:t xml:space="preserve"> ban hành Nghị quyết </w:t>
      </w:r>
      <w:r w:rsidRPr="00374988">
        <w:rPr>
          <w:lang w:val="nb-NO"/>
        </w:rPr>
        <w:t xml:space="preserve">quy định </w:t>
      </w:r>
      <w:r>
        <w:rPr>
          <w:lang w:val="nb-NO"/>
        </w:rPr>
        <w:t xml:space="preserve">chính sách hỗ trợ thu nhập cho các thành viên hộ nghèo thuộc chính sách bảo trợ xã hội tại kỳ họp lần này </w:t>
      </w:r>
      <w:r w:rsidRPr="00374988">
        <w:rPr>
          <w:lang w:val="nb-NO"/>
        </w:rPr>
        <w:t>là cần thiết</w:t>
      </w:r>
      <w:r>
        <w:rPr>
          <w:lang w:val="nb-NO"/>
        </w:rPr>
        <w:t>, phù hợp</w:t>
      </w:r>
      <w:r w:rsidRPr="00374988">
        <w:rPr>
          <w:lang w:val="nb-NO"/>
        </w:rPr>
        <w:t xml:space="preserve"> và đúng thẩm quyền.</w:t>
      </w:r>
    </w:p>
    <w:p w:rsidR="005259F5" w:rsidRPr="002A2E7C" w:rsidRDefault="005259F5" w:rsidP="00A84AD9">
      <w:pPr>
        <w:spacing w:line="420" w:lineRule="exact"/>
        <w:ind w:firstLine="737"/>
        <w:jc w:val="both"/>
      </w:pPr>
      <w:r>
        <w:rPr>
          <w:b/>
        </w:rPr>
        <w:t>2</w:t>
      </w:r>
      <w:r w:rsidRPr="002A2E7C">
        <w:rPr>
          <w:b/>
        </w:rPr>
        <w:t>. Về căn cứ pháp lý</w:t>
      </w:r>
    </w:p>
    <w:p w:rsidR="005259F5" w:rsidRDefault="005259F5" w:rsidP="00A84AD9">
      <w:pPr>
        <w:spacing w:line="420" w:lineRule="exact"/>
        <w:ind w:firstLine="737"/>
        <w:jc w:val="both"/>
      </w:pPr>
      <w:r w:rsidRPr="002A2E7C">
        <w:t xml:space="preserve"> </w:t>
      </w:r>
      <w:r w:rsidRPr="002A2E7C">
        <w:rPr>
          <w:lang w:val="sq-AL"/>
        </w:rPr>
        <w:t xml:space="preserve">Tờ trình, dự thảo Nghị quyết </w:t>
      </w:r>
      <w:r w:rsidRPr="002A2E7C">
        <w:rPr>
          <w:iCs/>
          <w:lang w:val="nb-NO"/>
        </w:rPr>
        <w:t>đã có đầy đủ hồ sơ, thủ tụ</w:t>
      </w:r>
      <w:r>
        <w:rPr>
          <w:iCs/>
          <w:lang w:val="nb-NO"/>
        </w:rPr>
        <w:t>c, các căn cứ pháp lý liên quan</w:t>
      </w:r>
      <w:r w:rsidRPr="002A2E7C">
        <w:rPr>
          <w:lang w:val="nb-NO"/>
        </w:rPr>
        <w:t xml:space="preserve">, </w:t>
      </w:r>
      <w:r w:rsidRPr="002A2E7C">
        <w:rPr>
          <w:iCs/>
          <w:lang w:val="nb-NO"/>
        </w:rPr>
        <w:t>được cơ quan t</w:t>
      </w:r>
      <w:r w:rsidRPr="002A2E7C">
        <w:rPr>
          <w:bCs/>
          <w:lang w:val="vi-VN"/>
        </w:rPr>
        <w:t xml:space="preserve">ư pháp thẩm </w:t>
      </w:r>
      <w:r w:rsidRPr="002A2E7C">
        <w:rPr>
          <w:iCs/>
          <w:lang w:val="nb-NO"/>
        </w:rPr>
        <w:t>định theo đúng trình tự, quy phạm pháp luật.</w:t>
      </w:r>
      <w:r w:rsidRPr="002A2E7C">
        <w:t xml:space="preserve"> </w:t>
      </w:r>
    </w:p>
    <w:p w:rsidR="005259F5" w:rsidRDefault="005259F5" w:rsidP="00A84AD9">
      <w:pPr>
        <w:pStyle w:val="BodyTextIndent"/>
        <w:widowControl w:val="0"/>
        <w:spacing w:line="420" w:lineRule="exact"/>
        <w:rPr>
          <w:rFonts w:ascii="Times New Roman" w:hAnsi="Times New Roman"/>
          <w:b/>
        </w:rPr>
      </w:pPr>
      <w:r>
        <w:rPr>
          <w:rFonts w:ascii="Times New Roman" w:hAnsi="Times New Roman"/>
          <w:b/>
        </w:rPr>
        <w:t>3</w:t>
      </w:r>
      <w:r w:rsidRPr="00712F4C">
        <w:rPr>
          <w:rFonts w:ascii="Times New Roman" w:hAnsi="Times New Roman"/>
          <w:b/>
          <w:lang w:val="vi-VN"/>
        </w:rPr>
        <w:t xml:space="preserve">. </w:t>
      </w:r>
      <w:r w:rsidRPr="00712F4C">
        <w:rPr>
          <w:rFonts w:ascii="Times New Roman" w:hAnsi="Times New Roman"/>
          <w:b/>
        </w:rPr>
        <w:t xml:space="preserve">Về </w:t>
      </w:r>
      <w:r>
        <w:rPr>
          <w:rFonts w:ascii="Times New Roman" w:hAnsi="Times New Roman"/>
          <w:b/>
        </w:rPr>
        <w:t xml:space="preserve">bố cục, </w:t>
      </w:r>
      <w:r w:rsidRPr="00712F4C">
        <w:rPr>
          <w:rFonts w:ascii="Times New Roman" w:hAnsi="Times New Roman"/>
          <w:b/>
        </w:rPr>
        <w:t>n</w:t>
      </w:r>
      <w:r w:rsidRPr="00712F4C">
        <w:rPr>
          <w:rFonts w:ascii="Times New Roman" w:hAnsi="Times New Roman"/>
          <w:b/>
          <w:lang w:val="vi-VN"/>
        </w:rPr>
        <w:t xml:space="preserve">ội dung </w:t>
      </w:r>
      <w:r w:rsidR="00803C1D">
        <w:rPr>
          <w:rFonts w:ascii="Times New Roman" w:hAnsi="Times New Roman"/>
          <w:b/>
        </w:rPr>
        <w:t xml:space="preserve">dự thảo </w:t>
      </w:r>
      <w:r>
        <w:rPr>
          <w:rFonts w:ascii="Times New Roman" w:hAnsi="Times New Roman"/>
          <w:b/>
        </w:rPr>
        <w:t>Nghị quyết</w:t>
      </w:r>
    </w:p>
    <w:p w:rsidR="0080667B" w:rsidRPr="0080667B" w:rsidRDefault="005259F5" w:rsidP="004B1C44">
      <w:pPr>
        <w:pStyle w:val="BodyTextIndent2"/>
        <w:widowControl w:val="0"/>
        <w:spacing w:line="420" w:lineRule="exact"/>
        <w:rPr>
          <w:b w:val="0"/>
          <w:szCs w:val="20"/>
          <w:lang w:val="en-GB"/>
        </w:rPr>
      </w:pPr>
      <w:r w:rsidRPr="00B2400F">
        <w:rPr>
          <w:b w:val="0"/>
          <w:szCs w:val="20"/>
          <w:lang w:val="sq-AL"/>
        </w:rPr>
        <w:t xml:space="preserve">Ban văn </w:t>
      </w:r>
      <w:r>
        <w:rPr>
          <w:b w:val="0"/>
          <w:szCs w:val="20"/>
          <w:lang w:val="sq-AL"/>
        </w:rPr>
        <w:t>hóa - xã hội đã tổ chức</w:t>
      </w:r>
      <w:r w:rsidRPr="00B2400F">
        <w:rPr>
          <w:b w:val="0"/>
          <w:szCs w:val="20"/>
          <w:lang w:val="sq-AL"/>
        </w:rPr>
        <w:t xml:space="preserve"> </w:t>
      </w:r>
      <w:r>
        <w:rPr>
          <w:b w:val="0"/>
          <w:szCs w:val="20"/>
          <w:lang w:val="sq-AL"/>
        </w:rPr>
        <w:t>làm việc với cơ quan soạn thảo</w:t>
      </w:r>
      <w:r w:rsidRPr="00B2400F">
        <w:rPr>
          <w:b w:val="0"/>
          <w:szCs w:val="20"/>
          <w:lang w:val="sq-AL"/>
        </w:rPr>
        <w:t xml:space="preserve">, các ý kiến </w:t>
      </w:r>
      <w:r>
        <w:rPr>
          <w:b w:val="0"/>
          <w:szCs w:val="20"/>
          <w:lang w:val="sq-AL"/>
        </w:rPr>
        <w:t xml:space="preserve">góp ý </w:t>
      </w:r>
      <w:r w:rsidRPr="00B2400F">
        <w:rPr>
          <w:b w:val="0"/>
          <w:szCs w:val="20"/>
          <w:lang w:val="sq-AL"/>
        </w:rPr>
        <w:t>đã được tiếp thu, chỉnh sửa. Vì vậy, Ban nhất trí với bố cục, nội dung dự thảo Nghị quyết</w:t>
      </w:r>
      <w:r w:rsidR="004B1C44">
        <w:rPr>
          <w:b w:val="0"/>
          <w:szCs w:val="20"/>
          <w:lang w:val="sq-AL"/>
        </w:rPr>
        <w:t>.</w:t>
      </w:r>
    </w:p>
    <w:p w:rsidR="005259F5" w:rsidRDefault="005259F5" w:rsidP="00A84AD9">
      <w:pPr>
        <w:pStyle w:val="BodyTextIndent2"/>
        <w:widowControl w:val="0"/>
        <w:spacing w:line="420" w:lineRule="exact"/>
        <w:rPr>
          <w:b w:val="0"/>
          <w:szCs w:val="20"/>
          <w:lang w:val="sq-AL"/>
        </w:rPr>
      </w:pPr>
      <w:r w:rsidRPr="00B2400F">
        <w:rPr>
          <w:b w:val="0"/>
          <w:szCs w:val="20"/>
          <w:lang w:val="sq-AL"/>
        </w:rPr>
        <w:t xml:space="preserve">Với </w:t>
      </w:r>
      <w:r>
        <w:rPr>
          <w:b w:val="0"/>
          <w:szCs w:val="20"/>
          <w:lang w:val="sq-AL"/>
        </w:rPr>
        <w:t>kết quả thẩm tra trên đây, Ban Văn hóa - Xã hội thống nhất:</w:t>
      </w:r>
    </w:p>
    <w:p w:rsidR="005259F5" w:rsidRDefault="005259F5" w:rsidP="00A84AD9">
      <w:pPr>
        <w:pStyle w:val="BodyTextIndent2"/>
        <w:widowControl w:val="0"/>
        <w:spacing w:line="420" w:lineRule="exact"/>
        <w:rPr>
          <w:b w:val="0"/>
          <w:szCs w:val="20"/>
          <w:lang w:val="nb-NO"/>
        </w:rPr>
      </w:pPr>
      <w:r>
        <w:rPr>
          <w:b w:val="0"/>
          <w:szCs w:val="20"/>
          <w:lang w:val="sq-AL"/>
        </w:rPr>
        <w:t>1. Đ</w:t>
      </w:r>
      <w:r w:rsidRPr="00B2400F">
        <w:rPr>
          <w:b w:val="0"/>
          <w:szCs w:val="20"/>
          <w:lang w:val="sq-AL"/>
        </w:rPr>
        <w:t xml:space="preserve">ề nghị </w:t>
      </w:r>
      <w:r>
        <w:rPr>
          <w:b w:val="0"/>
          <w:szCs w:val="20"/>
          <w:lang w:val="sq-AL"/>
        </w:rPr>
        <w:t>Hội đồng nhân dân tỉnh đồng ý thông qua</w:t>
      </w:r>
      <w:r w:rsidRPr="00B2400F">
        <w:rPr>
          <w:b w:val="0"/>
          <w:szCs w:val="20"/>
          <w:lang w:val="sq-AL"/>
        </w:rPr>
        <w:t xml:space="preserve"> </w:t>
      </w:r>
      <w:r w:rsidRPr="00B2400F">
        <w:rPr>
          <w:b w:val="0"/>
          <w:szCs w:val="20"/>
        </w:rPr>
        <w:t xml:space="preserve">Nghị quyết </w:t>
      </w:r>
      <w:r w:rsidRPr="00CA2750">
        <w:rPr>
          <w:b w:val="0"/>
          <w:szCs w:val="20"/>
          <w:lang w:val="nb-NO"/>
        </w:rPr>
        <w:t>quy định chính sách hỗ trợ thu nhập cho các thành viên hộ nghèo thuộc chính sách bảo trợ xã hội</w:t>
      </w:r>
      <w:r w:rsidRPr="00CA2750">
        <w:rPr>
          <w:szCs w:val="20"/>
          <w:lang w:val="nb-NO"/>
        </w:rPr>
        <w:t xml:space="preserve"> </w:t>
      </w:r>
      <w:r w:rsidRPr="00CA2750">
        <w:rPr>
          <w:b w:val="0"/>
          <w:szCs w:val="20"/>
          <w:lang w:val="nb-NO"/>
        </w:rPr>
        <w:t xml:space="preserve">trên địa bàn tỉnh giai đoạn 2020-2025 </w:t>
      </w:r>
      <w:r>
        <w:rPr>
          <w:b w:val="0"/>
          <w:szCs w:val="20"/>
          <w:lang w:val="nb-NO"/>
        </w:rPr>
        <w:t xml:space="preserve">và giao Uỷ ban nhân dân tỉnh tiếp thu ý kiến </w:t>
      </w:r>
      <w:r w:rsidR="0080667B">
        <w:rPr>
          <w:b w:val="0"/>
          <w:szCs w:val="20"/>
          <w:lang w:val="nb-NO"/>
        </w:rPr>
        <w:t>thẩm tra của ban, các ý kiến góp ý, thảo luận của</w:t>
      </w:r>
      <w:r>
        <w:rPr>
          <w:b w:val="0"/>
          <w:szCs w:val="20"/>
          <w:lang w:val="nb-NO"/>
        </w:rPr>
        <w:t xml:space="preserve"> đại biểu Hội đồng nhân dân tỉnh </w:t>
      </w:r>
      <w:r w:rsidR="0080667B">
        <w:rPr>
          <w:b w:val="0"/>
          <w:szCs w:val="20"/>
          <w:lang w:val="nb-NO"/>
        </w:rPr>
        <w:t xml:space="preserve">tại kỳ họp thứ 12 </w:t>
      </w:r>
      <w:r>
        <w:rPr>
          <w:b w:val="0"/>
          <w:szCs w:val="20"/>
          <w:lang w:val="nb-NO"/>
        </w:rPr>
        <w:t>để tiếp tục chỉnh sửa, hoàn chỉnh trước khi ban hành.</w:t>
      </w:r>
    </w:p>
    <w:p w:rsidR="005259F5" w:rsidRPr="003F7129" w:rsidRDefault="005259F5" w:rsidP="00A84AD9">
      <w:pPr>
        <w:pStyle w:val="BodyTextIndent2"/>
        <w:widowControl w:val="0"/>
        <w:spacing w:line="420" w:lineRule="exact"/>
        <w:rPr>
          <w:b w:val="0"/>
          <w:szCs w:val="20"/>
          <w:lang w:val="sq-AL"/>
        </w:rPr>
      </w:pPr>
      <w:r>
        <w:rPr>
          <w:b w:val="0"/>
          <w:szCs w:val="20"/>
          <w:lang w:val="en-GB"/>
        </w:rPr>
        <w:t xml:space="preserve">2. </w:t>
      </w:r>
      <w:r w:rsidRPr="003F7129">
        <w:rPr>
          <w:b w:val="0"/>
          <w:szCs w:val="20"/>
          <w:lang w:val="sq-AL"/>
        </w:rPr>
        <w:t xml:space="preserve">Đề nghị Uỷ ban nhân dân tỉnh </w:t>
      </w:r>
      <w:r>
        <w:rPr>
          <w:b w:val="0"/>
          <w:szCs w:val="20"/>
          <w:lang w:val="sq-AL"/>
        </w:rPr>
        <w:t xml:space="preserve">chỉ đạo </w:t>
      </w:r>
      <w:r w:rsidRPr="003F7129">
        <w:rPr>
          <w:b w:val="0"/>
          <w:szCs w:val="20"/>
          <w:lang w:val="sq-AL"/>
        </w:rPr>
        <w:t>các đơn vị liên quan tham mưu kịp thời các văn bản hướng dẫn và bố trí đủ nguồn lực, đảm bảo tổ chức thực hiện tốt các nội dung của Nghị quyết sau khi được</w:t>
      </w:r>
      <w:r>
        <w:rPr>
          <w:b w:val="0"/>
          <w:szCs w:val="20"/>
          <w:lang w:val="sq-AL"/>
        </w:rPr>
        <w:t xml:space="preserve"> ban hành</w:t>
      </w:r>
      <w:r w:rsidRPr="003F7129">
        <w:rPr>
          <w:b w:val="0"/>
          <w:szCs w:val="20"/>
          <w:lang w:val="sq-AL"/>
        </w:rPr>
        <w:t>.</w:t>
      </w:r>
      <w:r>
        <w:rPr>
          <w:b w:val="0"/>
          <w:szCs w:val="20"/>
          <w:lang w:val="sq-AL"/>
        </w:rPr>
        <w:t xml:space="preserve"> Việc rà soát, xác định đối tượng được hỗ trợ hàng năm phải </w:t>
      </w:r>
      <w:r w:rsidR="004B1C44">
        <w:rPr>
          <w:b w:val="0"/>
          <w:szCs w:val="20"/>
          <w:lang w:val="sq-AL"/>
        </w:rPr>
        <w:t>đảm bảo chặt chẽ, chính xác</w:t>
      </w:r>
      <w:r w:rsidRPr="00CA2750">
        <w:rPr>
          <w:b w:val="0"/>
          <w:szCs w:val="20"/>
          <w:lang w:val="en-GB"/>
        </w:rPr>
        <w:t xml:space="preserve">. </w:t>
      </w:r>
    </w:p>
    <w:p w:rsidR="005259F5" w:rsidRPr="00712F4C" w:rsidRDefault="005259F5" w:rsidP="00A84AD9">
      <w:pPr>
        <w:pStyle w:val="BodyTextIndent2"/>
        <w:widowControl w:val="0"/>
        <w:spacing w:line="420" w:lineRule="exact"/>
        <w:rPr>
          <w:b w:val="0"/>
          <w:bCs w:val="0"/>
          <w:lang w:val="es-ES"/>
        </w:rPr>
      </w:pPr>
      <w:r>
        <w:rPr>
          <w:b w:val="0"/>
          <w:spacing w:val="-2"/>
          <w:szCs w:val="28"/>
          <w:lang w:val="es-ES"/>
        </w:rPr>
        <w:t>Trên đây là</w:t>
      </w:r>
      <w:r w:rsidRPr="00712F4C">
        <w:rPr>
          <w:b w:val="0"/>
          <w:spacing w:val="-2"/>
          <w:szCs w:val="28"/>
          <w:lang w:val="es-ES"/>
        </w:rPr>
        <w:t xml:space="preserve"> ý kiến thẩm tra của Ban văn hóa - xã hội, kính trình Hội đồng nhân dân tỉnh xem xét, quyết định./.</w:t>
      </w:r>
    </w:p>
    <w:tbl>
      <w:tblPr>
        <w:tblW w:w="9313" w:type="dxa"/>
        <w:tblInd w:w="108" w:type="dxa"/>
        <w:tblLayout w:type="fixed"/>
        <w:tblLook w:val="0000" w:firstRow="0" w:lastRow="0" w:firstColumn="0" w:lastColumn="0" w:noHBand="0" w:noVBand="0"/>
      </w:tblPr>
      <w:tblGrid>
        <w:gridCol w:w="4488"/>
        <w:gridCol w:w="4825"/>
      </w:tblGrid>
      <w:tr w:rsidR="005259F5" w:rsidRPr="0098602E" w:rsidTr="002E6B35">
        <w:trPr>
          <w:trHeight w:val="176"/>
        </w:trPr>
        <w:tc>
          <w:tcPr>
            <w:tcW w:w="4488" w:type="dxa"/>
          </w:tcPr>
          <w:p w:rsidR="005259F5" w:rsidRPr="00712F4C" w:rsidRDefault="005259F5" w:rsidP="002E6B35">
            <w:pPr>
              <w:rPr>
                <w:b/>
                <w:bCs/>
                <w:i/>
                <w:sz w:val="24"/>
                <w:lang w:val="nb-NO"/>
              </w:rPr>
            </w:pPr>
            <w:r w:rsidRPr="00712F4C">
              <w:rPr>
                <w:b/>
                <w:bCs/>
                <w:i/>
                <w:sz w:val="24"/>
                <w:lang w:val="nb-NO"/>
              </w:rPr>
              <w:t>N</w:t>
            </w:r>
            <w:r w:rsidRPr="00712F4C">
              <w:rPr>
                <w:rFonts w:hint="eastAsia"/>
                <w:b/>
                <w:bCs/>
                <w:i/>
                <w:sz w:val="24"/>
                <w:lang w:val="nb-NO"/>
              </w:rPr>
              <w:t>ơ</w:t>
            </w:r>
            <w:r w:rsidRPr="00712F4C">
              <w:rPr>
                <w:b/>
                <w:bCs/>
                <w:i/>
                <w:sz w:val="24"/>
                <w:lang w:val="nb-NO"/>
              </w:rPr>
              <w:t>i nhận:</w:t>
            </w:r>
          </w:p>
          <w:p w:rsidR="005259F5" w:rsidRPr="0080373F" w:rsidRDefault="005259F5" w:rsidP="002E6B35">
            <w:pPr>
              <w:rPr>
                <w:bCs/>
                <w:sz w:val="22"/>
                <w:szCs w:val="22"/>
                <w:lang w:val="nb-NO"/>
              </w:rPr>
            </w:pPr>
            <w:r w:rsidRPr="0080373F">
              <w:rPr>
                <w:bCs/>
                <w:sz w:val="22"/>
                <w:szCs w:val="22"/>
                <w:lang w:val="nb-NO"/>
              </w:rPr>
              <w:t>- TT HĐND tỉnh (để báo cáo);</w:t>
            </w:r>
          </w:p>
          <w:p w:rsidR="005259F5" w:rsidRPr="0080373F" w:rsidRDefault="005259F5" w:rsidP="002E6B35">
            <w:pPr>
              <w:rPr>
                <w:bCs/>
                <w:sz w:val="22"/>
                <w:szCs w:val="22"/>
                <w:lang w:val="nb-NO"/>
              </w:rPr>
            </w:pPr>
            <w:r w:rsidRPr="0080373F">
              <w:rPr>
                <w:bCs/>
                <w:sz w:val="22"/>
                <w:szCs w:val="22"/>
                <w:lang w:val="nb-NO"/>
              </w:rPr>
              <w:t>- UBND tỉnh (để tiếp thu, hoàn thiện);</w:t>
            </w:r>
          </w:p>
          <w:p w:rsidR="005259F5" w:rsidRPr="0080373F" w:rsidRDefault="005259F5" w:rsidP="002E6B35">
            <w:pPr>
              <w:rPr>
                <w:bCs/>
                <w:sz w:val="22"/>
                <w:szCs w:val="22"/>
                <w:lang w:val="nb-NO"/>
              </w:rPr>
            </w:pPr>
            <w:r w:rsidRPr="0080373F">
              <w:rPr>
                <w:bCs/>
                <w:sz w:val="22"/>
                <w:szCs w:val="22"/>
                <w:lang w:val="nb-NO"/>
              </w:rPr>
              <w:t>- Đại biểu HĐND tỉnh và c</w:t>
            </w:r>
            <w:r>
              <w:rPr>
                <w:bCs/>
                <w:sz w:val="22"/>
                <w:szCs w:val="22"/>
                <w:lang w:val="nb-NO"/>
              </w:rPr>
              <w:t>ác đại biểu tham dự Kỳ họp thứ 12</w:t>
            </w:r>
            <w:r w:rsidRPr="0080373F">
              <w:rPr>
                <w:bCs/>
                <w:sz w:val="22"/>
                <w:szCs w:val="22"/>
                <w:lang w:val="nb-NO"/>
              </w:rPr>
              <w:t xml:space="preserve"> HĐND tỉnh khoá XVII;</w:t>
            </w:r>
          </w:p>
          <w:p w:rsidR="005259F5" w:rsidRPr="0080373F" w:rsidRDefault="005259F5" w:rsidP="002E6B35">
            <w:pPr>
              <w:rPr>
                <w:bCs/>
                <w:sz w:val="22"/>
                <w:szCs w:val="22"/>
                <w:lang w:val="nb-NO"/>
              </w:rPr>
            </w:pPr>
            <w:r w:rsidRPr="0080373F">
              <w:rPr>
                <w:bCs/>
                <w:sz w:val="22"/>
                <w:szCs w:val="22"/>
                <w:lang w:val="nb-NO"/>
              </w:rPr>
              <w:t>- TTTT (đăng tải lên Website);</w:t>
            </w:r>
          </w:p>
          <w:p w:rsidR="005259F5" w:rsidRPr="0080373F" w:rsidRDefault="005259F5" w:rsidP="002E6B35">
            <w:pPr>
              <w:rPr>
                <w:bCs/>
                <w:sz w:val="22"/>
                <w:szCs w:val="22"/>
                <w:vertAlign w:val="subscript"/>
              </w:rPr>
            </w:pPr>
            <w:r>
              <w:rPr>
                <w:bCs/>
                <w:sz w:val="22"/>
                <w:szCs w:val="22"/>
              </w:rPr>
              <w:t>- Lưu: VT. HĐ</w:t>
            </w:r>
            <w:r w:rsidRPr="00FE2E60">
              <w:rPr>
                <w:bCs/>
                <w:sz w:val="16"/>
                <w:szCs w:val="16"/>
              </w:rPr>
              <w:t>5</w:t>
            </w:r>
          </w:p>
          <w:p w:rsidR="005259F5" w:rsidRPr="0098602E" w:rsidRDefault="005259F5" w:rsidP="002E6B35">
            <w:pPr>
              <w:rPr>
                <w:sz w:val="22"/>
              </w:rPr>
            </w:pPr>
          </w:p>
        </w:tc>
        <w:tc>
          <w:tcPr>
            <w:tcW w:w="4825" w:type="dxa"/>
          </w:tcPr>
          <w:p w:rsidR="005259F5" w:rsidRPr="004247C6" w:rsidRDefault="005259F5" w:rsidP="002E6B35">
            <w:pPr>
              <w:widowControl w:val="0"/>
              <w:ind w:left="-108" w:right="-108"/>
              <w:jc w:val="center"/>
              <w:rPr>
                <w:b/>
              </w:rPr>
            </w:pPr>
            <w:r w:rsidRPr="004247C6">
              <w:rPr>
                <w:b/>
              </w:rPr>
              <w:t>TM. BAN VĂN HÓA - XÃ HỘI</w:t>
            </w:r>
          </w:p>
          <w:p w:rsidR="005259F5" w:rsidRPr="004247C6" w:rsidRDefault="005259F5" w:rsidP="002E6B35">
            <w:pPr>
              <w:widowControl w:val="0"/>
              <w:ind w:left="-108" w:right="-108"/>
              <w:jc w:val="center"/>
              <w:rPr>
                <w:b/>
              </w:rPr>
            </w:pPr>
            <w:r w:rsidRPr="004247C6">
              <w:rPr>
                <w:b/>
              </w:rPr>
              <w:t>TRƯỞNG BAN</w:t>
            </w:r>
          </w:p>
          <w:p w:rsidR="005259F5" w:rsidRDefault="005259F5" w:rsidP="002E6B35">
            <w:pPr>
              <w:pStyle w:val="Heading5"/>
              <w:keepNext w:val="0"/>
              <w:widowControl w:val="0"/>
              <w:ind w:left="-108"/>
              <w:jc w:val="center"/>
              <w:rPr>
                <w:rFonts w:ascii="Times New Roman" w:hAnsi="Times New Roman"/>
              </w:rPr>
            </w:pPr>
          </w:p>
          <w:p w:rsidR="005259F5" w:rsidRDefault="005259F5" w:rsidP="002E6B35"/>
          <w:p w:rsidR="005259F5" w:rsidRDefault="005259F5" w:rsidP="004B1C44">
            <w:pPr>
              <w:jc w:val="center"/>
            </w:pPr>
          </w:p>
          <w:p w:rsidR="004B1C44" w:rsidRDefault="004B1C44" w:rsidP="004B1C44">
            <w:pPr>
              <w:jc w:val="center"/>
            </w:pPr>
          </w:p>
          <w:p w:rsidR="005259F5" w:rsidRDefault="005259F5" w:rsidP="002E6B35"/>
          <w:p w:rsidR="005259F5" w:rsidRPr="009E7C3B" w:rsidRDefault="005259F5" w:rsidP="002E6B35">
            <w:pPr>
              <w:jc w:val="center"/>
              <w:rPr>
                <w:b/>
              </w:rPr>
            </w:pPr>
            <w:r>
              <w:rPr>
                <w:b/>
              </w:rPr>
              <w:t>Nguyễn Thị Nguyệt</w:t>
            </w:r>
          </w:p>
        </w:tc>
      </w:tr>
    </w:tbl>
    <w:p w:rsidR="005259F5" w:rsidRPr="0098602E" w:rsidRDefault="005259F5" w:rsidP="005259F5">
      <w:pPr>
        <w:widowControl w:val="0"/>
      </w:pPr>
    </w:p>
    <w:p w:rsidR="006E1601" w:rsidRDefault="006E1601"/>
    <w:sectPr w:rsidR="006E1601" w:rsidSect="006F10E9">
      <w:footerReference w:type="even" r:id="rId6"/>
      <w:footerReference w:type="default" r:id="rId7"/>
      <w:pgSz w:w="11907" w:h="16840" w:code="9"/>
      <w:pgMar w:top="1021" w:right="1021" w:bottom="851" w:left="1588" w:header="720" w:footer="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8F5" w:rsidRDefault="008928F5" w:rsidP="005259F5">
      <w:r>
        <w:separator/>
      </w:r>
    </w:p>
  </w:endnote>
  <w:endnote w:type="continuationSeparator" w:id="0">
    <w:p w:rsidR="008928F5" w:rsidRDefault="008928F5" w:rsidP="0052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717" w:rsidRDefault="002E54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3717" w:rsidRDefault="00892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347169"/>
      <w:docPartObj>
        <w:docPartGallery w:val="Page Numbers (Bottom of Page)"/>
        <w:docPartUnique/>
      </w:docPartObj>
    </w:sdtPr>
    <w:sdtEndPr>
      <w:rPr>
        <w:rFonts w:ascii="Times New Roman" w:hAnsi="Times New Roman"/>
        <w:noProof/>
        <w:sz w:val="28"/>
        <w:szCs w:val="28"/>
      </w:rPr>
    </w:sdtEndPr>
    <w:sdtContent>
      <w:p w:rsidR="00DC7453" w:rsidRPr="000F304A" w:rsidRDefault="002E5484">
        <w:pPr>
          <w:pStyle w:val="Footer"/>
          <w:jc w:val="center"/>
          <w:rPr>
            <w:rFonts w:ascii="Times New Roman" w:hAnsi="Times New Roman"/>
            <w:sz w:val="28"/>
            <w:szCs w:val="28"/>
          </w:rPr>
        </w:pPr>
        <w:r w:rsidRPr="000F304A">
          <w:rPr>
            <w:rFonts w:ascii="Times New Roman" w:hAnsi="Times New Roman"/>
            <w:sz w:val="28"/>
            <w:szCs w:val="28"/>
          </w:rPr>
          <w:fldChar w:fldCharType="begin"/>
        </w:r>
        <w:r w:rsidRPr="000F304A">
          <w:rPr>
            <w:rFonts w:ascii="Times New Roman" w:hAnsi="Times New Roman"/>
            <w:sz w:val="28"/>
            <w:szCs w:val="28"/>
          </w:rPr>
          <w:instrText xml:space="preserve"> PAGE   \* MERGEFORMAT </w:instrText>
        </w:r>
        <w:r w:rsidRPr="000F304A">
          <w:rPr>
            <w:rFonts w:ascii="Times New Roman" w:hAnsi="Times New Roman"/>
            <w:sz w:val="28"/>
            <w:szCs w:val="28"/>
          </w:rPr>
          <w:fldChar w:fldCharType="separate"/>
        </w:r>
        <w:r w:rsidR="008E47EC">
          <w:rPr>
            <w:rFonts w:ascii="Times New Roman" w:hAnsi="Times New Roman"/>
            <w:noProof/>
            <w:sz w:val="28"/>
            <w:szCs w:val="28"/>
          </w:rPr>
          <w:t>1</w:t>
        </w:r>
        <w:r w:rsidRPr="000F304A">
          <w:rPr>
            <w:rFonts w:ascii="Times New Roman" w:hAnsi="Times New Roman"/>
            <w:noProof/>
            <w:sz w:val="28"/>
            <w:szCs w:val="28"/>
          </w:rPr>
          <w:fldChar w:fldCharType="end"/>
        </w:r>
      </w:p>
    </w:sdtContent>
  </w:sdt>
  <w:p w:rsidR="00DC7453" w:rsidRDefault="00892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8F5" w:rsidRDefault="008928F5" w:rsidP="005259F5">
      <w:r>
        <w:separator/>
      </w:r>
    </w:p>
  </w:footnote>
  <w:footnote w:type="continuationSeparator" w:id="0">
    <w:p w:rsidR="008928F5" w:rsidRDefault="008928F5" w:rsidP="005259F5">
      <w:r>
        <w:continuationSeparator/>
      </w:r>
    </w:p>
  </w:footnote>
  <w:footnote w:id="1">
    <w:p w:rsidR="005259F5" w:rsidRDefault="005259F5" w:rsidP="005259F5">
      <w:pPr>
        <w:pStyle w:val="FootnoteText"/>
        <w:jc w:val="both"/>
      </w:pPr>
      <w:r>
        <w:rPr>
          <w:rStyle w:val="FootnoteReference"/>
        </w:rPr>
        <w:footnoteRef/>
      </w:r>
      <w:r>
        <w:t xml:space="preserve"> Đ</w:t>
      </w:r>
      <w:r w:rsidRPr="00592753">
        <w:t>iều 3 của Nghị quyết quy định: “Hội đồng nhân dân các cấp trong phạm vi nhiệm vụ, quyền hạn của mình có trách nhiệm xây dựng và ban hành chính sách, phân bổ nguồn lực và giám sát việc thực hiện chính sách giảm nghèo tại địa phương”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F5"/>
    <w:rsid w:val="00113C7B"/>
    <w:rsid w:val="001C3140"/>
    <w:rsid w:val="002E5484"/>
    <w:rsid w:val="002E59C3"/>
    <w:rsid w:val="00301DBD"/>
    <w:rsid w:val="003A2593"/>
    <w:rsid w:val="003F768D"/>
    <w:rsid w:val="004B1C44"/>
    <w:rsid w:val="005259F5"/>
    <w:rsid w:val="00690FC4"/>
    <w:rsid w:val="006D68FE"/>
    <w:rsid w:val="006E1601"/>
    <w:rsid w:val="006F657F"/>
    <w:rsid w:val="00794493"/>
    <w:rsid w:val="00803C1D"/>
    <w:rsid w:val="0080667B"/>
    <w:rsid w:val="008928F5"/>
    <w:rsid w:val="008E47EC"/>
    <w:rsid w:val="008F6104"/>
    <w:rsid w:val="00931511"/>
    <w:rsid w:val="00A84AD9"/>
    <w:rsid w:val="00AA5DFC"/>
    <w:rsid w:val="00AB1485"/>
    <w:rsid w:val="00B868BC"/>
    <w:rsid w:val="00BA13B5"/>
    <w:rsid w:val="00CC7686"/>
    <w:rsid w:val="00EA2C7B"/>
    <w:rsid w:val="00F8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47737-BB58-429D-9EFF-41AED485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9F5"/>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5259F5"/>
    <w:pPr>
      <w:keepNext/>
      <w:ind w:firstLine="720"/>
      <w:jc w:val="center"/>
      <w:outlineLvl w:val="0"/>
    </w:pPr>
    <w:rPr>
      <w:rFonts w:ascii="VNtimes New Roman" w:hAnsi="VNtimes New Roman"/>
      <w:b/>
      <w:i/>
      <w:szCs w:val="20"/>
    </w:rPr>
  </w:style>
  <w:style w:type="paragraph" w:styleId="Heading2">
    <w:name w:val="heading 2"/>
    <w:basedOn w:val="Normal"/>
    <w:next w:val="Normal"/>
    <w:link w:val="Heading2Char"/>
    <w:qFormat/>
    <w:rsid w:val="005259F5"/>
    <w:pPr>
      <w:keepNext/>
      <w:ind w:hanging="360"/>
      <w:outlineLvl w:val="1"/>
    </w:pPr>
    <w:rPr>
      <w:rFonts w:ascii="VNtimes New Roman" w:hAnsi="VNtimes New Roman"/>
      <w:b/>
      <w:sz w:val="24"/>
      <w:szCs w:val="20"/>
    </w:rPr>
  </w:style>
  <w:style w:type="paragraph" w:styleId="Heading3">
    <w:name w:val="heading 3"/>
    <w:basedOn w:val="Normal"/>
    <w:next w:val="Normal"/>
    <w:link w:val="Heading3Char"/>
    <w:qFormat/>
    <w:rsid w:val="005259F5"/>
    <w:pPr>
      <w:keepNext/>
      <w:jc w:val="center"/>
      <w:outlineLvl w:val="2"/>
    </w:pPr>
    <w:rPr>
      <w:rFonts w:ascii="VNtimes New Roman" w:hAnsi="VNtimes New Roman"/>
      <w:b/>
      <w:bCs/>
      <w:sz w:val="26"/>
    </w:rPr>
  </w:style>
  <w:style w:type="paragraph" w:styleId="Heading4">
    <w:name w:val="heading 4"/>
    <w:basedOn w:val="Normal"/>
    <w:next w:val="Normal"/>
    <w:link w:val="Heading4Char"/>
    <w:qFormat/>
    <w:rsid w:val="005259F5"/>
    <w:pPr>
      <w:keepNext/>
      <w:jc w:val="center"/>
      <w:outlineLvl w:val="3"/>
    </w:pPr>
    <w:rPr>
      <w:rFonts w:ascii="VNtimes New Roman" w:hAnsi="VNtimes New Roman"/>
      <w:b/>
      <w:sz w:val="32"/>
      <w:szCs w:val="20"/>
    </w:rPr>
  </w:style>
  <w:style w:type="paragraph" w:styleId="Heading5">
    <w:name w:val="heading 5"/>
    <w:basedOn w:val="Normal"/>
    <w:next w:val="Normal"/>
    <w:link w:val="Heading5Char"/>
    <w:qFormat/>
    <w:rsid w:val="005259F5"/>
    <w:pPr>
      <w:keepNext/>
      <w:outlineLvl w:val="4"/>
    </w:pPr>
    <w:rPr>
      <w:rFonts w:ascii="VNtimes New Roman" w:hAnsi="VNtimes New Roman"/>
      <w:b/>
      <w:bCs/>
    </w:rPr>
  </w:style>
  <w:style w:type="paragraph" w:styleId="Heading6">
    <w:name w:val="heading 6"/>
    <w:basedOn w:val="Normal"/>
    <w:next w:val="Normal"/>
    <w:link w:val="Heading6Char"/>
    <w:qFormat/>
    <w:rsid w:val="005259F5"/>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9F5"/>
    <w:rPr>
      <w:rFonts w:ascii="VNtimes New Roman" w:eastAsia="Times New Roman" w:hAnsi="VNtimes New Roman" w:cs="Times New Roman"/>
      <w:b/>
      <w:i/>
      <w:sz w:val="28"/>
      <w:szCs w:val="20"/>
    </w:rPr>
  </w:style>
  <w:style w:type="character" w:customStyle="1" w:styleId="Heading2Char">
    <w:name w:val="Heading 2 Char"/>
    <w:basedOn w:val="DefaultParagraphFont"/>
    <w:link w:val="Heading2"/>
    <w:rsid w:val="005259F5"/>
    <w:rPr>
      <w:rFonts w:ascii="VNtimes New Roman" w:eastAsia="Times New Roman" w:hAnsi="VNtimes New Roman" w:cs="Times New Roman"/>
      <w:b/>
      <w:sz w:val="24"/>
      <w:szCs w:val="20"/>
    </w:rPr>
  </w:style>
  <w:style w:type="character" w:customStyle="1" w:styleId="Heading3Char">
    <w:name w:val="Heading 3 Char"/>
    <w:basedOn w:val="DefaultParagraphFont"/>
    <w:link w:val="Heading3"/>
    <w:rsid w:val="005259F5"/>
    <w:rPr>
      <w:rFonts w:ascii="VNtimes New Roman" w:eastAsia="Times New Roman" w:hAnsi="VNtimes New Roman" w:cs="Times New Roman"/>
      <w:b/>
      <w:bCs/>
      <w:sz w:val="26"/>
      <w:szCs w:val="24"/>
    </w:rPr>
  </w:style>
  <w:style w:type="character" w:customStyle="1" w:styleId="Heading4Char">
    <w:name w:val="Heading 4 Char"/>
    <w:basedOn w:val="DefaultParagraphFont"/>
    <w:link w:val="Heading4"/>
    <w:rsid w:val="005259F5"/>
    <w:rPr>
      <w:rFonts w:ascii="VNtimes New Roman" w:eastAsia="Times New Roman" w:hAnsi="VNtimes New Roman" w:cs="Times New Roman"/>
      <w:b/>
      <w:sz w:val="32"/>
      <w:szCs w:val="20"/>
    </w:rPr>
  </w:style>
  <w:style w:type="character" w:customStyle="1" w:styleId="Heading5Char">
    <w:name w:val="Heading 5 Char"/>
    <w:basedOn w:val="DefaultParagraphFont"/>
    <w:link w:val="Heading5"/>
    <w:rsid w:val="005259F5"/>
    <w:rPr>
      <w:rFonts w:ascii="VNtimes New Roman" w:eastAsia="Times New Roman" w:hAnsi="VNtimes New Roman" w:cs="Times New Roman"/>
      <w:b/>
      <w:bCs/>
      <w:sz w:val="28"/>
      <w:szCs w:val="24"/>
    </w:rPr>
  </w:style>
  <w:style w:type="character" w:customStyle="1" w:styleId="Heading6Char">
    <w:name w:val="Heading 6 Char"/>
    <w:basedOn w:val="DefaultParagraphFont"/>
    <w:link w:val="Heading6"/>
    <w:rsid w:val="005259F5"/>
    <w:rPr>
      <w:rFonts w:ascii="Times New Roman" w:eastAsia="Times New Roman" w:hAnsi="Times New Roman" w:cs="Times New Roman"/>
      <w:sz w:val="28"/>
      <w:szCs w:val="24"/>
    </w:rPr>
  </w:style>
  <w:style w:type="paragraph" w:styleId="BodyTextIndent">
    <w:name w:val="Body Text Indent"/>
    <w:basedOn w:val="Normal"/>
    <w:link w:val="BodyTextIndentChar"/>
    <w:rsid w:val="005259F5"/>
    <w:pPr>
      <w:ind w:firstLine="720"/>
      <w:jc w:val="both"/>
    </w:pPr>
    <w:rPr>
      <w:rFonts w:ascii="VNtimes New Roman" w:hAnsi="VNtimes New Roman"/>
      <w:szCs w:val="20"/>
    </w:rPr>
  </w:style>
  <w:style w:type="character" w:customStyle="1" w:styleId="BodyTextIndentChar">
    <w:name w:val="Body Text Indent Char"/>
    <w:basedOn w:val="DefaultParagraphFont"/>
    <w:link w:val="BodyTextIndent"/>
    <w:rsid w:val="005259F5"/>
    <w:rPr>
      <w:rFonts w:ascii="VNtimes New Roman" w:eastAsia="Times New Roman" w:hAnsi="VNtimes New Roman" w:cs="Times New Roman"/>
      <w:sz w:val="28"/>
      <w:szCs w:val="20"/>
    </w:rPr>
  </w:style>
  <w:style w:type="paragraph" w:styleId="BodyTextIndent2">
    <w:name w:val="Body Text Indent 2"/>
    <w:basedOn w:val="Normal"/>
    <w:link w:val="BodyTextIndent2Char"/>
    <w:rsid w:val="005259F5"/>
    <w:pPr>
      <w:ind w:firstLine="720"/>
      <w:jc w:val="both"/>
    </w:pPr>
    <w:rPr>
      <w:b/>
      <w:bCs/>
    </w:rPr>
  </w:style>
  <w:style w:type="character" w:customStyle="1" w:styleId="BodyTextIndent2Char">
    <w:name w:val="Body Text Indent 2 Char"/>
    <w:basedOn w:val="DefaultParagraphFont"/>
    <w:link w:val="BodyTextIndent2"/>
    <w:rsid w:val="005259F5"/>
    <w:rPr>
      <w:rFonts w:ascii="Times New Roman" w:eastAsia="Times New Roman" w:hAnsi="Times New Roman" w:cs="Times New Roman"/>
      <w:b/>
      <w:bCs/>
      <w:sz w:val="28"/>
      <w:szCs w:val="24"/>
    </w:rPr>
  </w:style>
  <w:style w:type="character" w:styleId="PageNumber">
    <w:name w:val="page number"/>
    <w:basedOn w:val="DefaultParagraphFont"/>
    <w:rsid w:val="005259F5"/>
  </w:style>
  <w:style w:type="paragraph" w:styleId="Footer">
    <w:name w:val="footer"/>
    <w:basedOn w:val="Normal"/>
    <w:link w:val="FooterChar"/>
    <w:uiPriority w:val="99"/>
    <w:rsid w:val="005259F5"/>
    <w:pPr>
      <w:tabs>
        <w:tab w:val="center" w:pos="4320"/>
        <w:tab w:val="right" w:pos="8640"/>
      </w:tabs>
    </w:pPr>
    <w:rPr>
      <w:rFonts w:ascii="VNtimes New Roman" w:hAnsi="VNtimes New Roman"/>
      <w:sz w:val="24"/>
    </w:rPr>
  </w:style>
  <w:style w:type="character" w:customStyle="1" w:styleId="FooterChar">
    <w:name w:val="Footer Char"/>
    <w:basedOn w:val="DefaultParagraphFont"/>
    <w:link w:val="Footer"/>
    <w:uiPriority w:val="99"/>
    <w:rsid w:val="005259F5"/>
    <w:rPr>
      <w:rFonts w:ascii="VNtimes New Roman" w:eastAsia="Times New Roman" w:hAnsi="VNtimes New Roman" w:cs="Times New Roman"/>
      <w:sz w:val="24"/>
      <w:szCs w:val="24"/>
    </w:rPr>
  </w:style>
  <w:style w:type="paragraph" w:styleId="FootnoteText">
    <w:name w:val="footnote text"/>
    <w:basedOn w:val="Normal"/>
    <w:link w:val="FootnoteTextChar"/>
    <w:rsid w:val="005259F5"/>
    <w:rPr>
      <w:sz w:val="20"/>
      <w:szCs w:val="20"/>
    </w:rPr>
  </w:style>
  <w:style w:type="character" w:customStyle="1" w:styleId="FootnoteTextChar">
    <w:name w:val="Footnote Text Char"/>
    <w:basedOn w:val="DefaultParagraphFont"/>
    <w:link w:val="FootnoteText"/>
    <w:rsid w:val="005259F5"/>
    <w:rPr>
      <w:rFonts w:ascii="Times New Roman" w:eastAsia="Times New Roman" w:hAnsi="Times New Roman" w:cs="Times New Roman"/>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rsid w:val="005259F5"/>
    <w:rPr>
      <w:vertAlign w:val="superscript"/>
    </w:rPr>
  </w:style>
  <w:style w:type="paragraph" w:styleId="NoSpacing">
    <w:name w:val="No Spacing"/>
    <w:uiPriority w:val="1"/>
    <w:qFormat/>
    <w:rsid w:val="003A2593"/>
    <w:pPr>
      <w:spacing w:after="0" w:line="240"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F76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6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2019-12-06T11:31:00Z</cp:lastPrinted>
  <dcterms:created xsi:type="dcterms:W3CDTF">2019-12-11T10:53:00Z</dcterms:created>
  <dcterms:modified xsi:type="dcterms:W3CDTF">2019-12-11T10:53:00Z</dcterms:modified>
</cp:coreProperties>
</file>