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2" w:type="dxa"/>
        <w:tblLook w:val="01E0" w:firstRow="1" w:lastRow="1" w:firstColumn="1" w:lastColumn="1" w:noHBand="0" w:noVBand="0"/>
      </w:tblPr>
      <w:tblGrid>
        <w:gridCol w:w="2998"/>
        <w:gridCol w:w="6264"/>
      </w:tblGrid>
      <w:tr w:rsidR="0003350E" w:rsidRPr="001D52C6" w:rsidTr="000E5215">
        <w:trPr>
          <w:trHeight w:val="1113"/>
        </w:trPr>
        <w:tc>
          <w:tcPr>
            <w:tcW w:w="2998" w:type="dxa"/>
          </w:tcPr>
          <w:p w:rsidR="0003350E" w:rsidRPr="008B0362" w:rsidRDefault="008B0362" w:rsidP="00661DE2">
            <w:pPr>
              <w:jc w:val="center"/>
              <w:rPr>
                <w:b/>
                <w:sz w:val="26"/>
                <w:szCs w:val="26"/>
              </w:rPr>
            </w:pPr>
            <w:r w:rsidRPr="008B0362">
              <w:rPr>
                <w:b/>
                <w:sz w:val="26"/>
                <w:szCs w:val="26"/>
              </w:rPr>
              <w:t>ỦY BAN NHÂN DÂN</w:t>
            </w:r>
            <w:r w:rsidR="00E342A6" w:rsidRPr="008B0362">
              <w:rPr>
                <w:b/>
                <w:sz w:val="26"/>
                <w:szCs w:val="26"/>
              </w:rPr>
              <w:t xml:space="preserve"> TỈNH HÀ TĨNH</w:t>
            </w:r>
          </w:p>
          <w:p w:rsidR="0003350E" w:rsidRPr="00661DE2" w:rsidRDefault="002B4275" w:rsidP="00DA5025">
            <w:pPr>
              <w:rPr>
                <w:b/>
                <w:sz w:val="18"/>
              </w:rPr>
            </w:pPr>
            <w:r>
              <w:rPr>
                <w:b/>
                <w:noProof/>
                <w:sz w:val="18"/>
              </w:rPr>
              <mc:AlternateContent>
                <mc:Choice Requires="wps">
                  <w:drawing>
                    <wp:anchor distT="0" distB="0" distL="114300" distR="114300" simplePos="0" relativeHeight="251657728" behindDoc="0" locked="0" layoutInCell="1" allowOverlap="1">
                      <wp:simplePos x="0" y="0"/>
                      <wp:positionH relativeFrom="column">
                        <wp:posOffset>586740</wp:posOffset>
                      </wp:positionH>
                      <wp:positionV relativeFrom="paragraph">
                        <wp:posOffset>13970</wp:posOffset>
                      </wp:positionV>
                      <wp:extent cx="571500" cy="0"/>
                      <wp:effectExtent l="9525" t="5715" r="9525" b="1333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1pt" to="91.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XfEwIAACg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"/>
                  </w:pict>
                </mc:Fallback>
              </mc:AlternateContent>
            </w:r>
          </w:p>
          <w:p w:rsidR="0003350E" w:rsidRDefault="003731C2" w:rsidP="00661DE2">
            <w:pPr>
              <w:jc w:val="center"/>
            </w:pPr>
            <w:r>
              <w:t>Số: 398</w:t>
            </w:r>
            <w:bookmarkStart w:id="0" w:name="_GoBack"/>
            <w:bookmarkEnd w:id="0"/>
            <w:r w:rsidR="0003350E">
              <w:t xml:space="preserve"> </w:t>
            </w:r>
            <w:r w:rsidR="00E342A6">
              <w:t>/TTr-</w:t>
            </w:r>
            <w:r w:rsidR="008B0362">
              <w:t>UBND</w:t>
            </w:r>
          </w:p>
          <w:p w:rsidR="00840D04" w:rsidRPr="001D52C6" w:rsidRDefault="00840D04" w:rsidP="00661DE2">
            <w:pPr>
              <w:jc w:val="center"/>
            </w:pPr>
          </w:p>
          <w:p w:rsidR="0003350E" w:rsidRPr="003C0F08" w:rsidRDefault="0003350E" w:rsidP="003C0F08">
            <w:pPr>
              <w:jc w:val="center"/>
              <w:rPr>
                <w:sz w:val="2"/>
              </w:rPr>
            </w:pPr>
          </w:p>
        </w:tc>
        <w:tc>
          <w:tcPr>
            <w:tcW w:w="6264" w:type="dxa"/>
          </w:tcPr>
          <w:p w:rsidR="0003350E" w:rsidRPr="00661DE2" w:rsidRDefault="003C0F08" w:rsidP="00661DE2">
            <w:pPr>
              <w:jc w:val="center"/>
              <w:rPr>
                <w:b/>
                <w:sz w:val="26"/>
              </w:rPr>
            </w:pPr>
            <w:r>
              <w:rPr>
                <w:b/>
                <w:sz w:val="26"/>
              </w:rPr>
              <w:t xml:space="preserve">         CỘNG H</w:t>
            </w:r>
            <w:r>
              <w:rPr>
                <w:b/>
                <w:sz w:val="26"/>
                <w:lang w:val="vi-VN"/>
              </w:rPr>
              <w:t>ÒA</w:t>
            </w:r>
            <w:r w:rsidR="0003350E" w:rsidRPr="00661DE2">
              <w:rPr>
                <w:b/>
                <w:sz w:val="26"/>
              </w:rPr>
              <w:t xml:space="preserve"> XÃ HỘI CHỦ NGHĨA VIỆT </w:t>
            </w:r>
            <w:smartTag w:uri="urn:schemas-microsoft-com:office:smarttags" w:element="place">
              <w:smartTag w:uri="urn:schemas-microsoft-com:office:smarttags" w:element="country-region">
                <w:r w:rsidR="0003350E" w:rsidRPr="00661DE2">
                  <w:rPr>
                    <w:b/>
                    <w:sz w:val="26"/>
                  </w:rPr>
                  <w:t>NAM</w:t>
                </w:r>
              </w:smartTag>
            </w:smartTag>
          </w:p>
          <w:p w:rsidR="0003350E" w:rsidRPr="00661DE2" w:rsidRDefault="0003350E" w:rsidP="00661DE2">
            <w:pPr>
              <w:jc w:val="center"/>
              <w:rPr>
                <w:b/>
              </w:rPr>
            </w:pPr>
            <w:r w:rsidRPr="00661DE2">
              <w:rPr>
                <w:b/>
              </w:rPr>
              <w:t xml:space="preserve">     Độc lập - Tự do - Hạnh phúc</w:t>
            </w:r>
          </w:p>
          <w:p w:rsidR="0003350E" w:rsidRPr="00661DE2" w:rsidRDefault="002B4275" w:rsidP="00661DE2">
            <w:pPr>
              <w:tabs>
                <w:tab w:val="center" w:pos="2744"/>
              </w:tabs>
              <w:rPr>
                <w:sz w:val="18"/>
              </w:rPr>
            </w:pPr>
            <w:r>
              <w:rPr>
                <w:noProof/>
              </w:rPr>
              <mc:AlternateContent>
                <mc:Choice Requires="wps">
                  <w:drawing>
                    <wp:anchor distT="0" distB="0" distL="114300" distR="114300" simplePos="0" relativeHeight="251656704" behindDoc="0" locked="0" layoutInCell="1" allowOverlap="1">
                      <wp:simplePos x="0" y="0"/>
                      <wp:positionH relativeFrom="column">
                        <wp:posOffset>951230</wp:posOffset>
                      </wp:positionH>
                      <wp:positionV relativeFrom="paragraph">
                        <wp:posOffset>9525</wp:posOffset>
                      </wp:positionV>
                      <wp:extent cx="2171700" cy="0"/>
                      <wp:effectExtent l="10795" t="6350" r="8255"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75pt" to="2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7c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i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"/>
                  </w:pict>
                </mc:Fallback>
              </mc:AlternateContent>
            </w:r>
            <w:r w:rsidR="0003350E" w:rsidRPr="001D52C6">
              <w:tab/>
            </w:r>
          </w:p>
          <w:p w:rsidR="0003350E" w:rsidRPr="00A94D6D" w:rsidRDefault="0003350E" w:rsidP="00BA67DB">
            <w:r w:rsidRPr="00A94D6D">
              <w:rPr>
                <w:i/>
              </w:rPr>
              <w:t xml:space="preserve">             </w:t>
            </w:r>
            <w:r w:rsidR="002B452F" w:rsidRPr="00A94D6D">
              <w:rPr>
                <w:i/>
              </w:rPr>
              <w:t xml:space="preserve">   </w:t>
            </w:r>
            <w:r w:rsidR="00CE2A5F">
              <w:rPr>
                <w:i/>
              </w:rPr>
              <w:t>Hà Tĩnh, ngày 2</w:t>
            </w:r>
            <w:r w:rsidR="00BA67DB">
              <w:rPr>
                <w:i/>
              </w:rPr>
              <w:t>7</w:t>
            </w:r>
            <w:r w:rsidRPr="00A94D6D">
              <w:rPr>
                <w:i/>
              </w:rPr>
              <w:t xml:space="preserve"> tháng</w:t>
            </w:r>
            <w:r w:rsidR="008B0362" w:rsidRPr="00A94D6D">
              <w:rPr>
                <w:i/>
              </w:rPr>
              <w:t xml:space="preserve"> </w:t>
            </w:r>
            <w:r w:rsidR="003C0F08" w:rsidRPr="00A94D6D">
              <w:rPr>
                <w:i/>
                <w:lang w:val="vi-VN"/>
              </w:rPr>
              <w:t>11</w:t>
            </w:r>
            <w:r w:rsidRPr="00A94D6D">
              <w:rPr>
                <w:i/>
              </w:rPr>
              <w:t xml:space="preserve"> năm 201</w:t>
            </w:r>
            <w:r w:rsidR="00B253FA" w:rsidRPr="00A94D6D">
              <w:rPr>
                <w:i/>
              </w:rPr>
              <w:t>9</w:t>
            </w:r>
          </w:p>
        </w:tc>
      </w:tr>
    </w:tbl>
    <w:p w:rsidR="00FA3CDF" w:rsidRPr="00CE2A5F" w:rsidRDefault="00FA3CDF" w:rsidP="003C0F08">
      <w:pPr>
        <w:jc w:val="center"/>
        <w:rPr>
          <w:b/>
          <w:sz w:val="20"/>
        </w:rPr>
      </w:pPr>
    </w:p>
    <w:p w:rsidR="001B3911" w:rsidRPr="00B84CB8" w:rsidRDefault="001B3911" w:rsidP="003C0F08">
      <w:pPr>
        <w:jc w:val="center"/>
        <w:rPr>
          <w:b/>
        </w:rPr>
      </w:pPr>
      <w:r w:rsidRPr="00B84CB8">
        <w:rPr>
          <w:b/>
        </w:rPr>
        <w:t>TỜ TRÌNH</w:t>
      </w:r>
    </w:p>
    <w:p w:rsidR="00996D9D" w:rsidRDefault="00620875" w:rsidP="003C0F08">
      <w:pPr>
        <w:jc w:val="center"/>
        <w:rPr>
          <w:b/>
          <w:lang w:val="sq-AL"/>
        </w:rPr>
      </w:pPr>
      <w:r>
        <w:rPr>
          <w:b/>
          <w:lang w:val="vi-VN"/>
        </w:rPr>
        <w:t xml:space="preserve">Đề nghị ban hành Nghị quyết </w:t>
      </w:r>
      <w:r w:rsidR="003C0F08">
        <w:rPr>
          <w:b/>
          <w:lang w:val="vi-VN"/>
        </w:rPr>
        <w:t>Q</w:t>
      </w:r>
      <w:r w:rsidR="00E342A6" w:rsidRPr="00E342A6">
        <w:rPr>
          <w:b/>
          <w:lang w:val="sq-AL"/>
        </w:rPr>
        <w:t xml:space="preserve">uy định mức giá dịch vụ khám bệnh, </w:t>
      </w:r>
    </w:p>
    <w:p w:rsidR="004952C5" w:rsidRDefault="00E342A6" w:rsidP="003C0F08">
      <w:pPr>
        <w:jc w:val="center"/>
        <w:rPr>
          <w:b/>
          <w:lang w:val="sq-AL"/>
        </w:rPr>
      </w:pPr>
      <w:r w:rsidRPr="00E342A6">
        <w:rPr>
          <w:b/>
          <w:lang w:val="sq-AL"/>
        </w:rPr>
        <w:t>chữa bệnh khôn</w:t>
      </w:r>
      <w:r w:rsidR="00A26EC1">
        <w:rPr>
          <w:b/>
          <w:lang w:val="sq-AL"/>
        </w:rPr>
        <w:t xml:space="preserve">g thuộc phạm vi thanh toán của </w:t>
      </w:r>
      <w:r w:rsidR="00A26EC1">
        <w:rPr>
          <w:b/>
          <w:lang w:val="vi-VN"/>
        </w:rPr>
        <w:t>Q</w:t>
      </w:r>
      <w:r w:rsidR="00996D9D">
        <w:rPr>
          <w:b/>
          <w:lang w:val="sq-AL"/>
        </w:rPr>
        <w:t>uỹ bảo hiểm y tế trong</w:t>
      </w:r>
    </w:p>
    <w:p w:rsidR="002B452F" w:rsidRDefault="00996D9D" w:rsidP="003C0F08">
      <w:pPr>
        <w:jc w:val="center"/>
        <w:rPr>
          <w:b/>
          <w:lang w:val="sq-AL"/>
        </w:rPr>
      </w:pPr>
      <w:r>
        <w:rPr>
          <w:b/>
          <w:lang w:val="sq-AL"/>
        </w:rPr>
        <w:t>các cơ</w:t>
      </w:r>
      <w:r w:rsidR="00E342A6" w:rsidRPr="00E342A6">
        <w:rPr>
          <w:b/>
          <w:lang w:val="sq-AL"/>
        </w:rPr>
        <w:t xml:space="preserve"> sở k</w:t>
      </w:r>
      <w:r>
        <w:rPr>
          <w:b/>
          <w:lang w:val="sq-AL"/>
        </w:rPr>
        <w:t xml:space="preserve">hám bệnh, chữa bệnh </w:t>
      </w:r>
      <w:r w:rsidR="00BA67DB">
        <w:rPr>
          <w:b/>
          <w:lang w:val="sq-AL"/>
        </w:rPr>
        <w:t>của Nhà nước</w:t>
      </w:r>
      <w:r w:rsidR="00E342A6" w:rsidRPr="00E342A6">
        <w:rPr>
          <w:b/>
          <w:lang w:val="sq-AL"/>
        </w:rPr>
        <w:t xml:space="preserve"> </w:t>
      </w:r>
      <w:r w:rsidR="00E342A6" w:rsidRPr="008345C0">
        <w:rPr>
          <w:b/>
          <w:lang w:val="sq-AL"/>
        </w:rPr>
        <w:t>trên địa bàn tỉnh Hà Tĩnh</w:t>
      </w:r>
    </w:p>
    <w:p w:rsidR="00B253FA" w:rsidRDefault="002B4275" w:rsidP="00EC3E8F">
      <w:pPr>
        <w:spacing w:before="80" w:line="380" w:lineRule="exact"/>
        <w:jc w:val="center"/>
        <w:rPr>
          <w:lang w:val="sq-AL"/>
        </w:rPr>
      </w:pPr>
      <w:r>
        <w:rPr>
          <w:b/>
          <w:noProof/>
        </w:rPr>
        <mc:AlternateContent>
          <mc:Choice Requires="wps">
            <w:drawing>
              <wp:anchor distT="0" distB="0" distL="114300" distR="114300" simplePos="0" relativeHeight="251658752" behindDoc="0" locked="0" layoutInCell="1" allowOverlap="1">
                <wp:simplePos x="0" y="0"/>
                <wp:positionH relativeFrom="column">
                  <wp:posOffset>1807210</wp:posOffset>
                </wp:positionH>
                <wp:positionV relativeFrom="paragraph">
                  <wp:posOffset>22860</wp:posOffset>
                </wp:positionV>
                <wp:extent cx="2047875" cy="0"/>
                <wp:effectExtent l="10795" t="9525" r="825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1.8pt" to="30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LQ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"/>
            </w:pict>
          </mc:Fallback>
        </mc:AlternateContent>
      </w:r>
    </w:p>
    <w:p w:rsidR="00E342A6" w:rsidRDefault="00CB74BE" w:rsidP="00EC3E8F">
      <w:pPr>
        <w:spacing w:before="80"/>
        <w:jc w:val="center"/>
        <w:rPr>
          <w:lang w:val="sq-AL"/>
        </w:rPr>
      </w:pPr>
      <w:r>
        <w:rPr>
          <w:lang w:val="sq-AL"/>
        </w:rPr>
        <w:t xml:space="preserve">Kính gửi: </w:t>
      </w:r>
      <w:r w:rsidR="008B0362">
        <w:rPr>
          <w:lang w:val="sq-AL"/>
        </w:rPr>
        <w:t>H</w:t>
      </w:r>
      <w:r w:rsidR="008B0362" w:rsidRPr="008B0362">
        <w:rPr>
          <w:lang w:val="sq-AL"/>
        </w:rPr>
        <w:t>ội</w:t>
      </w:r>
      <w:r w:rsidR="008B0362">
        <w:rPr>
          <w:lang w:val="sq-AL"/>
        </w:rPr>
        <w:t xml:space="preserve"> đ</w:t>
      </w:r>
      <w:r w:rsidR="008B0362" w:rsidRPr="008B0362">
        <w:rPr>
          <w:lang w:val="sq-AL"/>
        </w:rPr>
        <w:t>ồng</w:t>
      </w:r>
      <w:r w:rsidR="008B0362">
        <w:rPr>
          <w:lang w:val="sq-AL"/>
        </w:rPr>
        <w:t xml:space="preserve"> </w:t>
      </w:r>
      <w:r w:rsidR="00CE2A5F">
        <w:rPr>
          <w:lang w:val="sq-AL"/>
        </w:rPr>
        <w:t>nhân dân tỉnh</w:t>
      </w:r>
    </w:p>
    <w:p w:rsidR="001B0B49" w:rsidRPr="0093070D" w:rsidRDefault="001B0B49" w:rsidP="00EC3E8F">
      <w:pPr>
        <w:spacing w:before="80"/>
        <w:jc w:val="both"/>
        <w:rPr>
          <w:lang w:val="sq-AL"/>
        </w:rPr>
      </w:pPr>
    </w:p>
    <w:p w:rsidR="00693A2B" w:rsidRPr="00BA67DB" w:rsidRDefault="002B4275" w:rsidP="002B4275">
      <w:pPr>
        <w:spacing w:after="60"/>
        <w:ind w:firstLine="720"/>
        <w:jc w:val="both"/>
        <w:rPr>
          <w:bCs/>
          <w:color w:val="000000"/>
          <w:spacing w:val="-6"/>
          <w:lang w:val="nl-NL"/>
        </w:rPr>
      </w:pPr>
      <w:r w:rsidRPr="00BA67DB">
        <w:rPr>
          <w:spacing w:val="-6"/>
        </w:rPr>
        <w:t>Thực hiện quy định của Luật B</w:t>
      </w:r>
      <w:r w:rsidR="00693A2B" w:rsidRPr="00BA67DB">
        <w:rPr>
          <w:spacing w:val="-6"/>
        </w:rPr>
        <w:t xml:space="preserve">an hành văn bản quy phạm pháp </w:t>
      </w:r>
      <w:r w:rsidR="00693A2B" w:rsidRPr="00BA67DB">
        <w:rPr>
          <w:spacing w:val="-6"/>
          <w:lang w:val="vi-VN"/>
        </w:rPr>
        <w:t>L</w:t>
      </w:r>
      <w:r w:rsidR="00693A2B" w:rsidRPr="00BA67DB">
        <w:rPr>
          <w:spacing w:val="-6"/>
        </w:rPr>
        <w:t xml:space="preserve">uật năm 2015, </w:t>
      </w:r>
      <w:r w:rsidR="007E6362" w:rsidRPr="00BA67DB">
        <w:rPr>
          <w:bCs/>
          <w:color w:val="000000"/>
          <w:spacing w:val="-6"/>
          <w:lang w:val="nl-NL"/>
        </w:rPr>
        <w:t>Kế hoạch số 659/KH-HĐND ngày 24/10/2019 của HĐND tỉnh Hà Tĩnh về việc chuẩn bị Kỳ họp thứ</w:t>
      </w:r>
      <w:r w:rsidR="002B1146" w:rsidRPr="00BA67DB">
        <w:rPr>
          <w:bCs/>
          <w:color w:val="000000"/>
          <w:spacing w:val="-6"/>
          <w:lang w:val="nl-NL"/>
        </w:rPr>
        <w:t xml:space="preserve"> </w:t>
      </w:r>
      <w:r w:rsidR="007E6362" w:rsidRPr="00BA67DB">
        <w:rPr>
          <w:bCs/>
          <w:color w:val="000000"/>
          <w:spacing w:val="-6"/>
          <w:lang w:val="nl-NL"/>
        </w:rPr>
        <w:t>12 Hội đồng nhân dân tỉnh khóa</w:t>
      </w:r>
      <w:r w:rsidR="002B1146" w:rsidRPr="00BA67DB">
        <w:rPr>
          <w:bCs/>
          <w:color w:val="000000"/>
          <w:spacing w:val="-6"/>
          <w:lang w:val="nl-NL"/>
        </w:rPr>
        <w:t xml:space="preserve"> </w:t>
      </w:r>
      <w:r w:rsidR="007E6362" w:rsidRPr="00BA67DB">
        <w:rPr>
          <w:bCs/>
          <w:color w:val="000000"/>
          <w:spacing w:val="-6"/>
          <w:lang w:val="nl-NL"/>
        </w:rPr>
        <w:t>XVII</w:t>
      </w:r>
      <w:r w:rsidR="00A26EC1" w:rsidRPr="00BA67DB">
        <w:rPr>
          <w:bCs/>
          <w:color w:val="000000"/>
          <w:spacing w:val="-6"/>
          <w:lang w:val="vi-VN"/>
        </w:rPr>
        <w:t xml:space="preserve">, </w:t>
      </w:r>
      <w:r w:rsidR="000B3002" w:rsidRPr="00BA67DB">
        <w:rPr>
          <w:spacing w:val="-6"/>
          <w:lang w:val="vi-VN"/>
        </w:rPr>
        <w:t xml:space="preserve">Ủy ban nhân dân tỉnh </w:t>
      </w:r>
      <w:r w:rsidR="00554696" w:rsidRPr="00BA67DB">
        <w:rPr>
          <w:spacing w:val="-6"/>
          <w:lang w:val="sq-AL"/>
        </w:rPr>
        <w:t xml:space="preserve">trình </w:t>
      </w:r>
      <w:r w:rsidR="000B3002" w:rsidRPr="00BA67DB">
        <w:rPr>
          <w:spacing w:val="-6"/>
          <w:lang w:val="vi-VN"/>
        </w:rPr>
        <w:t xml:space="preserve">Hội đồng nhân dân </w:t>
      </w:r>
      <w:r w:rsidR="00554696" w:rsidRPr="00BA67DB">
        <w:rPr>
          <w:spacing w:val="-6"/>
          <w:lang w:val="sq-AL"/>
        </w:rPr>
        <w:t xml:space="preserve">tỉnh xem xét, </w:t>
      </w:r>
      <w:r w:rsidR="00A26EC1" w:rsidRPr="00BA67DB">
        <w:rPr>
          <w:spacing w:val="-6"/>
          <w:lang w:val="vi-VN"/>
        </w:rPr>
        <w:t>ban hành Nghị quyết Q</w:t>
      </w:r>
      <w:r w:rsidR="00A26EC1" w:rsidRPr="00BA67DB">
        <w:rPr>
          <w:spacing w:val="-6"/>
          <w:lang w:val="sq-AL"/>
        </w:rPr>
        <w:t xml:space="preserve">uy định mức giá dịch vụ khám bệnh, chữa bệnh không thuộc phạm vi thanh toán của </w:t>
      </w:r>
      <w:r w:rsidR="00A26EC1" w:rsidRPr="00BA67DB">
        <w:rPr>
          <w:spacing w:val="-6"/>
          <w:lang w:val="vi-VN"/>
        </w:rPr>
        <w:t>Q</w:t>
      </w:r>
      <w:r w:rsidRPr="00BA67DB">
        <w:rPr>
          <w:spacing w:val="-6"/>
          <w:lang w:val="sq-AL"/>
        </w:rPr>
        <w:t>uỹ bảo hiểm y tế trong các cơ</w:t>
      </w:r>
      <w:r w:rsidR="00A26EC1" w:rsidRPr="00BA67DB">
        <w:rPr>
          <w:spacing w:val="-6"/>
          <w:lang w:val="sq-AL"/>
        </w:rPr>
        <w:t xml:space="preserve"> sở k</w:t>
      </w:r>
      <w:r w:rsidR="00996D9D" w:rsidRPr="00BA67DB">
        <w:rPr>
          <w:spacing w:val="-6"/>
          <w:lang w:val="sq-AL"/>
        </w:rPr>
        <w:t xml:space="preserve">hám bệnh, chữa bệnh </w:t>
      </w:r>
      <w:r w:rsidR="00BA67DB" w:rsidRPr="00BA67DB">
        <w:rPr>
          <w:spacing w:val="-6"/>
          <w:lang w:val="sq-AL"/>
        </w:rPr>
        <w:t>của Nhà nước</w:t>
      </w:r>
      <w:r w:rsidR="00A26EC1" w:rsidRPr="00BA67DB">
        <w:rPr>
          <w:spacing w:val="-6"/>
          <w:lang w:val="sq-AL"/>
        </w:rPr>
        <w:t xml:space="preserve"> trên địa bàn tỉnh Hà Tĩnh</w:t>
      </w:r>
      <w:r w:rsidR="00CF7883" w:rsidRPr="00BA67DB">
        <w:rPr>
          <w:spacing w:val="-6"/>
          <w:lang w:val="vi-VN"/>
        </w:rPr>
        <w:t xml:space="preserve"> </w:t>
      </w:r>
      <w:r w:rsidR="00554696" w:rsidRPr="00BA67DB">
        <w:rPr>
          <w:bCs/>
          <w:color w:val="000000"/>
          <w:spacing w:val="-6"/>
          <w:lang w:val="nl-NL"/>
        </w:rPr>
        <w:t xml:space="preserve">như sau: </w:t>
      </w:r>
    </w:p>
    <w:p w:rsidR="00693A2B" w:rsidRPr="00CE2A5F" w:rsidRDefault="00693A2B" w:rsidP="002B4275">
      <w:pPr>
        <w:spacing w:after="60"/>
        <w:ind w:firstLine="720"/>
        <w:jc w:val="both"/>
        <w:rPr>
          <w:bCs/>
          <w:color w:val="000000"/>
          <w:sz w:val="26"/>
          <w:szCs w:val="26"/>
          <w:lang w:val="nl-NL"/>
        </w:rPr>
      </w:pPr>
      <w:r w:rsidRPr="00CE2A5F">
        <w:rPr>
          <w:b/>
          <w:sz w:val="26"/>
          <w:szCs w:val="26"/>
        </w:rPr>
        <w:t xml:space="preserve">I. SỰ CẦN THIẾT BAN HÀNH </w:t>
      </w:r>
      <w:r w:rsidR="00CE2A5F">
        <w:rPr>
          <w:b/>
          <w:sz w:val="26"/>
          <w:szCs w:val="26"/>
        </w:rPr>
        <w:t>NGHỊ QUYẾT</w:t>
      </w:r>
    </w:p>
    <w:p w:rsidR="00EC3E8F" w:rsidRPr="00EC3E8F" w:rsidRDefault="00EC3E8F" w:rsidP="002B4275">
      <w:pPr>
        <w:spacing w:after="60"/>
        <w:ind w:firstLine="720"/>
        <w:jc w:val="both"/>
        <w:rPr>
          <w:color w:val="000000"/>
          <w:lang w:val="sq-AL"/>
        </w:rPr>
      </w:pPr>
      <w:r w:rsidRPr="00EC3E8F">
        <w:rPr>
          <w:color w:val="000000"/>
          <w:lang w:val="vi-VN"/>
        </w:rPr>
        <w:t>Thông tư số 14/2019/TT-BYT ngày 05/7/2019 của Bộ Y tế sửa đổi, bổ sung một số Điều của Thông tư số 37/2018/TT-BYT ngày 30/11/2018 của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r w:rsidR="00CE2A5F">
        <w:rPr>
          <w:color w:val="000000"/>
        </w:rPr>
        <w:t xml:space="preserve"> có hiệu lực từ ngày 20/8/2019</w:t>
      </w:r>
      <w:r w:rsidRPr="00EC3E8F">
        <w:rPr>
          <w:color w:val="000000"/>
          <w:lang w:val="sq-AL"/>
        </w:rPr>
        <w:t>.</w:t>
      </w:r>
      <w:r>
        <w:rPr>
          <w:color w:val="000000"/>
          <w:lang w:val="sq-AL"/>
        </w:rPr>
        <w:t xml:space="preserve"> Đ</w:t>
      </w:r>
      <w:r w:rsidRPr="00EC3E8F">
        <w:rPr>
          <w:color w:val="000000"/>
          <w:lang w:val="sq-AL"/>
        </w:rPr>
        <w:t>ể</w:t>
      </w:r>
      <w:r>
        <w:rPr>
          <w:color w:val="000000"/>
          <w:lang w:val="sq-AL"/>
        </w:rPr>
        <w:t xml:space="preserve"> tri</w:t>
      </w:r>
      <w:r w:rsidRPr="00EC3E8F">
        <w:rPr>
          <w:color w:val="000000"/>
          <w:lang w:val="sq-AL"/>
        </w:rPr>
        <w:t>ển</w:t>
      </w:r>
      <w:r>
        <w:rPr>
          <w:color w:val="000000"/>
          <w:lang w:val="sq-AL"/>
        </w:rPr>
        <w:t xml:space="preserve"> khai th</w:t>
      </w:r>
      <w:r w:rsidRPr="00EC3E8F">
        <w:rPr>
          <w:color w:val="000000"/>
          <w:lang w:val="sq-AL"/>
        </w:rPr>
        <w:t>ực</w:t>
      </w:r>
      <w:r>
        <w:rPr>
          <w:color w:val="000000"/>
          <w:lang w:val="sq-AL"/>
        </w:rPr>
        <w:t xml:space="preserve"> hi</w:t>
      </w:r>
      <w:r w:rsidRPr="00EC3E8F">
        <w:rPr>
          <w:color w:val="000000"/>
          <w:lang w:val="sq-AL"/>
        </w:rPr>
        <w:t>ện</w:t>
      </w:r>
      <w:r>
        <w:rPr>
          <w:color w:val="000000"/>
          <w:lang w:val="sq-AL"/>
        </w:rPr>
        <w:t xml:space="preserve"> Th</w:t>
      </w:r>
      <w:r w:rsidRPr="00EC3E8F">
        <w:rPr>
          <w:color w:val="000000"/>
          <w:lang w:val="sq-AL"/>
        </w:rPr>
        <w:t>ô</w:t>
      </w:r>
      <w:r>
        <w:rPr>
          <w:color w:val="000000"/>
          <w:lang w:val="sq-AL"/>
        </w:rPr>
        <w:t>ng t</w:t>
      </w:r>
      <w:r w:rsidRPr="00EC3E8F">
        <w:rPr>
          <w:color w:val="000000"/>
          <w:lang w:val="sq-AL"/>
        </w:rPr>
        <w:t>ư</w:t>
      </w:r>
      <w:r>
        <w:rPr>
          <w:color w:val="000000"/>
          <w:lang w:val="sq-AL"/>
        </w:rPr>
        <w:t xml:space="preserve">, theo quy </w:t>
      </w:r>
      <w:r w:rsidRPr="00EC3E8F">
        <w:rPr>
          <w:color w:val="000000"/>
          <w:lang w:val="sq-AL"/>
        </w:rPr>
        <w:t>định</w:t>
      </w:r>
      <w:r w:rsidR="00DB0FA0">
        <w:rPr>
          <w:color w:val="000000"/>
          <w:lang w:val="sq-AL"/>
        </w:rPr>
        <w:t xml:space="preserve"> c</w:t>
      </w:r>
      <w:r w:rsidR="00DB0FA0" w:rsidRPr="00DB0FA0">
        <w:rPr>
          <w:color w:val="000000"/>
          <w:lang w:val="sq-AL"/>
        </w:rPr>
        <w:t>ủa</w:t>
      </w:r>
      <w:r w:rsidR="00DB0FA0">
        <w:rPr>
          <w:color w:val="000000"/>
          <w:lang w:val="sq-AL"/>
        </w:rPr>
        <w:t xml:space="preserve"> </w:t>
      </w:r>
      <w:r w:rsidR="00DB0FA0" w:rsidRPr="00EC3E8F">
        <w:t xml:space="preserve">Luật ban hành văn bản quy phạm pháp </w:t>
      </w:r>
      <w:r w:rsidR="00DB0FA0" w:rsidRPr="00EC3E8F">
        <w:rPr>
          <w:lang w:val="vi-VN"/>
        </w:rPr>
        <w:t>L</w:t>
      </w:r>
      <w:r w:rsidR="00DB0FA0" w:rsidRPr="00EC3E8F">
        <w:t>uật năm 2015</w:t>
      </w:r>
      <w:r w:rsidR="00DB0FA0">
        <w:t xml:space="preserve">, </w:t>
      </w:r>
      <w:r w:rsidR="00DB0FA0" w:rsidRPr="00EC3E8F">
        <w:rPr>
          <w:iCs/>
          <w:lang w:val="vi-VN"/>
        </w:rPr>
        <w:t xml:space="preserve">Luật </w:t>
      </w:r>
      <w:r w:rsidR="00DB0FA0" w:rsidRPr="00EC3E8F">
        <w:rPr>
          <w:iCs/>
        </w:rPr>
        <w:t>G</w:t>
      </w:r>
      <w:r w:rsidR="00DB0FA0" w:rsidRPr="00EC3E8F">
        <w:rPr>
          <w:iCs/>
          <w:lang w:val="vi-VN"/>
        </w:rPr>
        <w:t>iá năm 2012</w:t>
      </w:r>
      <w:r w:rsidR="00DB0FA0">
        <w:rPr>
          <w:iCs/>
        </w:rPr>
        <w:t xml:space="preserve">, </w:t>
      </w:r>
      <w:r w:rsidR="00DB0FA0">
        <w:rPr>
          <w:lang w:val="vi-VN"/>
        </w:rPr>
        <w:t>Ủy ban nhân dân tỉnh</w:t>
      </w:r>
      <w:r w:rsidR="00DB0FA0" w:rsidRPr="00EC3E8F">
        <w:t xml:space="preserve"> </w:t>
      </w:r>
      <w:r w:rsidR="00DB0FA0" w:rsidRPr="00EC3E8F">
        <w:rPr>
          <w:lang w:val="sq-AL"/>
        </w:rPr>
        <w:t xml:space="preserve">trình </w:t>
      </w:r>
      <w:r w:rsidR="00DB0FA0" w:rsidRPr="00EC3E8F">
        <w:rPr>
          <w:lang w:val="vi-VN"/>
        </w:rPr>
        <w:t xml:space="preserve">Hội đồng nhân dân </w:t>
      </w:r>
      <w:r w:rsidR="00DB0FA0" w:rsidRPr="00EC3E8F">
        <w:rPr>
          <w:lang w:val="sq-AL"/>
        </w:rPr>
        <w:t xml:space="preserve">tỉnh xem xét, </w:t>
      </w:r>
      <w:r w:rsidR="00DB0FA0" w:rsidRPr="00EC3E8F">
        <w:rPr>
          <w:lang w:val="vi-VN"/>
        </w:rPr>
        <w:t>ban hành Nghị quyết Q</w:t>
      </w:r>
      <w:r w:rsidR="00DB0FA0" w:rsidRPr="00EC3E8F">
        <w:rPr>
          <w:lang w:val="sq-AL"/>
        </w:rPr>
        <w:t xml:space="preserve">uy định mức giá dịch vụ khám bệnh, chữa bệnh không thuộc phạm vi thanh toán của </w:t>
      </w:r>
      <w:r w:rsidR="00DB0FA0" w:rsidRPr="00EC3E8F">
        <w:rPr>
          <w:lang w:val="vi-VN"/>
        </w:rPr>
        <w:t>Q</w:t>
      </w:r>
      <w:r w:rsidR="00DB0FA0" w:rsidRPr="00EC3E8F">
        <w:rPr>
          <w:lang w:val="sq-AL"/>
        </w:rPr>
        <w:t>uỹ bảo hiểm y tế trong các c</w:t>
      </w:r>
      <w:r w:rsidR="00BA67DB">
        <w:rPr>
          <w:lang w:val="sq-AL"/>
        </w:rPr>
        <w:t>ơ</w:t>
      </w:r>
      <w:r w:rsidR="00DB0FA0" w:rsidRPr="00EC3E8F">
        <w:rPr>
          <w:lang w:val="sq-AL"/>
        </w:rPr>
        <w:t xml:space="preserve"> sở khám bệnh, chữa bệnh </w:t>
      </w:r>
      <w:r w:rsidR="00BA67DB">
        <w:rPr>
          <w:lang w:val="sq-AL"/>
        </w:rPr>
        <w:t>của Nhà nước</w:t>
      </w:r>
      <w:r w:rsidR="00DB0FA0" w:rsidRPr="00EC3E8F">
        <w:rPr>
          <w:lang w:val="sq-AL"/>
        </w:rPr>
        <w:t xml:space="preserve"> trên địa bàn tỉnh Hà Tĩnh</w:t>
      </w:r>
      <w:r w:rsidR="00FD6C06">
        <w:rPr>
          <w:lang w:val="sq-AL"/>
        </w:rPr>
        <w:t xml:space="preserve"> </w:t>
      </w:r>
      <w:r w:rsidR="00DB0FA0" w:rsidRPr="00EC3E8F">
        <w:rPr>
          <w:i/>
          <w:color w:val="000000"/>
          <w:spacing w:val="-4"/>
          <w:lang w:val="sq-AL"/>
        </w:rPr>
        <w:t>(</w:t>
      </w:r>
      <w:r w:rsidR="00CE2A5F">
        <w:rPr>
          <w:i/>
          <w:color w:val="000000"/>
          <w:spacing w:val="-4"/>
          <w:lang w:val="sq-AL"/>
        </w:rPr>
        <w:t>t</w:t>
      </w:r>
      <w:r w:rsidR="00DB0FA0">
        <w:rPr>
          <w:i/>
          <w:color w:val="000000"/>
          <w:spacing w:val="-4"/>
        </w:rPr>
        <w:t>hay th</w:t>
      </w:r>
      <w:r w:rsidR="00DB0FA0" w:rsidRPr="00DB0FA0">
        <w:rPr>
          <w:i/>
          <w:color w:val="000000"/>
          <w:spacing w:val="-4"/>
        </w:rPr>
        <w:t>ế</w:t>
      </w:r>
      <w:r w:rsidR="00DB0FA0">
        <w:rPr>
          <w:i/>
          <w:color w:val="000000"/>
          <w:spacing w:val="-4"/>
        </w:rPr>
        <w:t xml:space="preserve"> </w:t>
      </w:r>
      <w:r w:rsidR="00DB0FA0" w:rsidRPr="00EC3E8F">
        <w:rPr>
          <w:i/>
          <w:color w:val="000000"/>
          <w:spacing w:val="-4"/>
          <w:lang w:val="sq-AL"/>
        </w:rPr>
        <w:t>Nghị quyết số 58/2017/NQ-HĐND ngày 15/7/2017 của HĐND tỉnh).</w:t>
      </w:r>
      <w:r>
        <w:rPr>
          <w:color w:val="000000"/>
          <w:lang w:val="sq-AL"/>
        </w:rPr>
        <w:t xml:space="preserve"> </w:t>
      </w:r>
    </w:p>
    <w:p w:rsidR="00693A2B" w:rsidRPr="00CE2A5F" w:rsidRDefault="00693A2B" w:rsidP="002B4275">
      <w:pPr>
        <w:spacing w:after="60"/>
        <w:ind w:firstLine="720"/>
        <w:jc w:val="both"/>
        <w:rPr>
          <w:b/>
          <w:sz w:val="26"/>
          <w:szCs w:val="26"/>
        </w:rPr>
      </w:pPr>
      <w:r w:rsidRPr="00CE2A5F">
        <w:rPr>
          <w:b/>
          <w:sz w:val="26"/>
          <w:szCs w:val="26"/>
        </w:rPr>
        <w:t>II. MỤC ĐÍCH, QUAN ĐIỂM CHỈ Đ</w:t>
      </w:r>
      <w:r w:rsidR="00CE2A5F">
        <w:rPr>
          <w:b/>
          <w:sz w:val="26"/>
          <w:szCs w:val="26"/>
        </w:rPr>
        <w:t>ẠO VIỆC XÂY DỰNG DỰ THẢO NGHỊ QUYẾT</w:t>
      </w:r>
    </w:p>
    <w:p w:rsidR="00693A2B" w:rsidRPr="00EC3E8F" w:rsidRDefault="00693A2B" w:rsidP="002B4275">
      <w:pPr>
        <w:spacing w:after="60"/>
        <w:ind w:firstLine="720"/>
        <w:jc w:val="both"/>
        <w:rPr>
          <w:b/>
        </w:rPr>
      </w:pPr>
      <w:r w:rsidRPr="00EC3E8F">
        <w:rPr>
          <w:b/>
        </w:rPr>
        <w:t>1. Mục đích:</w:t>
      </w:r>
    </w:p>
    <w:p w:rsidR="00693A2B" w:rsidRPr="00F0383A" w:rsidRDefault="00693A2B" w:rsidP="002B4275">
      <w:pPr>
        <w:widowControl w:val="0"/>
        <w:spacing w:after="60"/>
        <w:ind w:firstLine="720"/>
        <w:jc w:val="both"/>
        <w:rPr>
          <w:color w:val="000000"/>
        </w:rPr>
      </w:pPr>
      <w:r w:rsidRPr="00EC3E8F">
        <w:rPr>
          <w:color w:val="000000"/>
          <w:lang w:val="sq-AL"/>
        </w:rPr>
        <w:t xml:space="preserve">-  </w:t>
      </w:r>
      <w:r w:rsidR="002B4275">
        <w:rPr>
          <w:color w:val="000000"/>
          <w:lang w:val="sq-AL"/>
        </w:rPr>
        <w:t>Để k</w:t>
      </w:r>
      <w:r w:rsidR="00F0383A" w:rsidRPr="00F0383A">
        <w:rPr>
          <w:color w:val="000000"/>
          <w:lang w:val="sq-AL"/>
        </w:rPr>
        <w:t>ết</w:t>
      </w:r>
      <w:r w:rsidR="00F0383A">
        <w:rPr>
          <w:color w:val="000000"/>
          <w:lang w:val="sq-AL"/>
        </w:rPr>
        <w:t xml:space="preserve"> c</w:t>
      </w:r>
      <w:r w:rsidR="00F0383A" w:rsidRPr="00F0383A">
        <w:rPr>
          <w:color w:val="000000"/>
          <w:lang w:val="sq-AL"/>
        </w:rPr>
        <w:t>ấu</w:t>
      </w:r>
      <w:r w:rsidR="00F0383A">
        <w:rPr>
          <w:color w:val="000000"/>
          <w:lang w:val="sq-AL"/>
        </w:rPr>
        <w:t xml:space="preserve"> </w:t>
      </w:r>
      <w:r w:rsidR="00F0383A" w:rsidRPr="00EC3E8F">
        <w:rPr>
          <w:color w:val="000000"/>
          <w:lang w:val="sq-AL"/>
        </w:rPr>
        <w:t>mức tăng lương cơ sở</w:t>
      </w:r>
      <w:r w:rsidR="002B4275">
        <w:rPr>
          <w:color w:val="000000"/>
          <w:lang w:val="sq-AL"/>
        </w:rPr>
        <w:t xml:space="preserve"> mới</w:t>
      </w:r>
      <w:r w:rsidR="00F0383A" w:rsidRPr="00EC3E8F">
        <w:rPr>
          <w:color w:val="000000"/>
          <w:lang w:val="sq-AL"/>
        </w:rPr>
        <w:t xml:space="preserve"> </w:t>
      </w:r>
      <w:r w:rsidR="00F0383A" w:rsidRPr="00EC3E8F">
        <w:rPr>
          <w:color w:val="000000"/>
          <w:lang w:val="vi-VN"/>
        </w:rPr>
        <w:t xml:space="preserve">1.490.000 đồng/tháng </w:t>
      </w:r>
      <w:r w:rsidR="00F0383A" w:rsidRPr="00EC3E8F">
        <w:rPr>
          <w:i/>
          <w:color w:val="000000"/>
          <w:lang w:val="vi-VN"/>
        </w:rPr>
        <w:t>(theo quy định tại Nghị định số 38/2019/NĐ-CP ngày 09/5/2019 của Chính phủ)</w:t>
      </w:r>
      <w:r w:rsidR="00F0383A">
        <w:rPr>
          <w:i/>
          <w:color w:val="000000"/>
        </w:rPr>
        <w:t xml:space="preserve"> </w:t>
      </w:r>
      <w:r w:rsidR="00F0383A" w:rsidRPr="00F0383A">
        <w:rPr>
          <w:color w:val="000000"/>
        </w:rPr>
        <w:t>vào trong giá dịch vụ</w:t>
      </w:r>
      <w:r w:rsidR="00F0383A">
        <w:rPr>
          <w:i/>
          <w:color w:val="000000"/>
        </w:rPr>
        <w:t xml:space="preserve"> </w:t>
      </w:r>
      <w:r w:rsidR="00F0383A" w:rsidRPr="00F0383A">
        <w:rPr>
          <w:i/>
          <w:color w:val="000000"/>
        </w:rPr>
        <w:t>(</w:t>
      </w:r>
      <w:r w:rsidRPr="00F0383A">
        <w:rPr>
          <w:i/>
          <w:color w:val="000000"/>
          <w:lang w:val="sq-AL"/>
        </w:rPr>
        <w:t>Thông tư số 14/2019/TT</w:t>
      </w:r>
      <w:r w:rsidR="002B4275">
        <w:rPr>
          <w:i/>
          <w:color w:val="000000"/>
          <w:lang w:val="sq-AL"/>
        </w:rPr>
        <w:t>-BYT ngày 05/7/2019 của Bộ Y tế</w:t>
      </w:r>
      <w:r w:rsidRPr="00F0383A">
        <w:rPr>
          <w:i/>
          <w:color w:val="000000"/>
          <w:lang w:val="sq-AL"/>
        </w:rPr>
        <w:t xml:space="preserve"> đã kết cấu mức tăng lương cơ sở </w:t>
      </w:r>
      <w:r w:rsidRPr="00F0383A">
        <w:rPr>
          <w:i/>
          <w:color w:val="000000"/>
          <w:lang w:val="vi-VN"/>
        </w:rPr>
        <w:t>1.490.000 đồng/tháng</w:t>
      </w:r>
      <w:r w:rsidR="00F0383A" w:rsidRPr="00F0383A">
        <w:rPr>
          <w:i/>
          <w:color w:val="000000"/>
        </w:rPr>
        <w:t>);</w:t>
      </w:r>
    </w:p>
    <w:p w:rsidR="00693A2B" w:rsidRPr="00EC3E8F" w:rsidRDefault="00693A2B" w:rsidP="002B4275">
      <w:pPr>
        <w:spacing w:after="60"/>
        <w:ind w:firstLine="720"/>
        <w:jc w:val="both"/>
        <w:rPr>
          <w:color w:val="000000"/>
          <w:lang w:val="sq-AL"/>
        </w:rPr>
      </w:pPr>
      <w:r w:rsidRPr="00EC3E8F">
        <w:rPr>
          <w:color w:val="000000"/>
          <w:lang w:val="sq-AL"/>
        </w:rPr>
        <w:t xml:space="preserve">- Nhằm đảm bảo sự bình đẳng, công bằng trong khám bệnh, chữa bệnh giữa đối tượng có BHYT </w:t>
      </w:r>
      <w:r w:rsidRPr="00EC3E8F">
        <w:rPr>
          <w:color w:val="000000"/>
          <w:lang w:val="vi-VN"/>
        </w:rPr>
        <w:t xml:space="preserve">và đối tượng </w:t>
      </w:r>
      <w:r w:rsidRPr="00EC3E8F">
        <w:rPr>
          <w:color w:val="000000"/>
          <w:lang w:val="sq-AL"/>
        </w:rPr>
        <w:t>không có BHYT;</w:t>
      </w:r>
    </w:p>
    <w:p w:rsidR="00693A2B" w:rsidRPr="00EC3E8F" w:rsidRDefault="00693A2B" w:rsidP="002B4275">
      <w:pPr>
        <w:spacing w:after="60"/>
        <w:ind w:firstLine="720"/>
        <w:jc w:val="both"/>
        <w:rPr>
          <w:color w:val="000000"/>
          <w:lang w:val="sq-AL"/>
        </w:rPr>
      </w:pPr>
      <w:r w:rsidRPr="00EC3E8F">
        <w:rPr>
          <w:color w:val="000000"/>
          <w:lang w:val="sq-AL"/>
        </w:rPr>
        <w:t xml:space="preserve">- Đảm bảo nguồn thu để thực hiện lộ trình tự chủ chi thường xuyên tại các cơ sở khám bệnh, chữa bệnh </w:t>
      </w:r>
      <w:r w:rsidR="00BA67DB">
        <w:rPr>
          <w:color w:val="000000"/>
          <w:lang w:val="sq-AL"/>
        </w:rPr>
        <w:t>của Nhà nước</w:t>
      </w:r>
      <w:r w:rsidRPr="00EC3E8F">
        <w:rPr>
          <w:color w:val="000000"/>
          <w:lang w:val="sq-AL"/>
        </w:rPr>
        <w:t>;</w:t>
      </w:r>
    </w:p>
    <w:p w:rsidR="00693A2B" w:rsidRPr="00EC3E8F" w:rsidRDefault="00693A2B" w:rsidP="002B4275">
      <w:pPr>
        <w:spacing w:after="60"/>
        <w:ind w:firstLine="720"/>
        <w:jc w:val="both"/>
        <w:rPr>
          <w:color w:val="000000"/>
          <w:lang w:val="sq-AL"/>
        </w:rPr>
      </w:pPr>
      <w:r w:rsidRPr="00EC3E8F">
        <w:rPr>
          <w:color w:val="000000"/>
          <w:lang w:val="sq-AL"/>
        </w:rPr>
        <w:lastRenderedPageBreak/>
        <w:t xml:space="preserve">- Việc đồng nhất giá dịch vụ y tế cho hai nhóm đối tượng </w:t>
      </w:r>
      <w:r w:rsidRPr="00EC3E8F">
        <w:rPr>
          <w:i/>
          <w:color w:val="000000"/>
          <w:lang w:val="sq-AL"/>
        </w:rPr>
        <w:t xml:space="preserve">(có BHYT và không </w:t>
      </w:r>
      <w:r w:rsidRPr="00EC3E8F">
        <w:rPr>
          <w:i/>
          <w:color w:val="000000"/>
          <w:lang w:val="vi-VN"/>
        </w:rPr>
        <w:t xml:space="preserve">có </w:t>
      </w:r>
      <w:r w:rsidRPr="00EC3E8F">
        <w:rPr>
          <w:i/>
          <w:color w:val="000000"/>
          <w:lang w:val="sq-AL"/>
        </w:rPr>
        <w:t xml:space="preserve">BHYT) </w:t>
      </w:r>
      <w:r w:rsidRPr="00EC3E8F">
        <w:rPr>
          <w:color w:val="000000"/>
          <w:lang w:val="sq-AL"/>
        </w:rPr>
        <w:t xml:space="preserve">tạo điều kiện thuận lợi cho các cơ sở khám bệnh, chữa bệnh trong quản lý chi phí khám </w:t>
      </w:r>
      <w:r w:rsidRPr="00EC3E8F">
        <w:rPr>
          <w:color w:val="000000"/>
          <w:lang w:val="vi-VN"/>
        </w:rPr>
        <w:t xml:space="preserve">bệnh, </w:t>
      </w:r>
      <w:r w:rsidRPr="00EC3E8F">
        <w:rPr>
          <w:color w:val="000000"/>
          <w:lang w:val="sq-AL"/>
        </w:rPr>
        <w:t>chữa bệnh trên phần mềm HIS đang áp</w:t>
      </w:r>
      <w:r w:rsidR="00BA67DB">
        <w:rPr>
          <w:color w:val="000000"/>
          <w:lang w:val="sq-AL"/>
        </w:rPr>
        <w:t xml:space="preserve"> dụng tại các bệnh viện của Nhà nước</w:t>
      </w:r>
      <w:r w:rsidRPr="00EC3E8F">
        <w:rPr>
          <w:color w:val="000000"/>
          <w:lang w:val="sq-AL"/>
        </w:rPr>
        <w:t>.</w:t>
      </w:r>
    </w:p>
    <w:p w:rsidR="00693A2B" w:rsidRPr="00EC3E8F" w:rsidRDefault="00BA67DB" w:rsidP="002B4275">
      <w:pPr>
        <w:spacing w:after="60"/>
        <w:ind w:firstLine="720"/>
        <w:jc w:val="both"/>
        <w:rPr>
          <w:b/>
        </w:rPr>
      </w:pPr>
      <w:r>
        <w:rPr>
          <w:b/>
        </w:rPr>
        <w:t>2. Sự tác động của Nghị quyết</w:t>
      </w:r>
      <w:r w:rsidR="00693A2B" w:rsidRPr="00EC3E8F">
        <w:rPr>
          <w:b/>
        </w:rPr>
        <w:t xml:space="preserve">: </w:t>
      </w:r>
    </w:p>
    <w:p w:rsidR="00693A2B" w:rsidRPr="004952C5" w:rsidRDefault="00693A2B" w:rsidP="002B4275">
      <w:pPr>
        <w:spacing w:after="60"/>
        <w:ind w:firstLine="720"/>
        <w:jc w:val="both"/>
        <w:rPr>
          <w:color w:val="000000"/>
          <w:spacing w:val="-8"/>
          <w:lang w:val="sq-AL"/>
        </w:rPr>
      </w:pPr>
      <w:r w:rsidRPr="004952C5">
        <w:rPr>
          <w:color w:val="000000"/>
          <w:spacing w:val="-8"/>
          <w:lang w:val="sq-AL"/>
        </w:rPr>
        <w:t>- Mức đề xuất giá tăng bình quân 3,65%</w:t>
      </w:r>
      <w:r w:rsidRPr="004952C5">
        <w:rPr>
          <w:color w:val="000000"/>
          <w:spacing w:val="-8"/>
          <w:lang w:val="vi-VN"/>
        </w:rPr>
        <w:t xml:space="preserve"> </w:t>
      </w:r>
      <w:r w:rsidRPr="004952C5">
        <w:rPr>
          <w:color w:val="000000"/>
          <w:spacing w:val="-8"/>
          <w:lang w:val="sq-AL"/>
        </w:rPr>
        <w:t xml:space="preserve">so với mức giá đang thực hiện </w:t>
      </w:r>
      <w:r w:rsidRPr="004952C5">
        <w:rPr>
          <w:i/>
          <w:color w:val="000000"/>
          <w:spacing w:val="-8"/>
          <w:lang w:val="sq-AL"/>
        </w:rPr>
        <w:t>(</w:t>
      </w:r>
      <w:r w:rsidRPr="004952C5">
        <w:rPr>
          <w:i/>
          <w:color w:val="000000"/>
          <w:spacing w:val="-8"/>
          <w:lang w:val="vi-VN"/>
        </w:rPr>
        <w:t>p</w:t>
      </w:r>
      <w:r w:rsidRPr="004952C5">
        <w:rPr>
          <w:i/>
          <w:color w:val="000000"/>
          <w:spacing w:val="-8"/>
          <w:lang w:val="sq-AL"/>
        </w:rPr>
        <w:t>hê duyệt tại Nghị quyết số 58/2017/NQ-HĐND ngày 15/7/2017 của HĐND tỉnh)</w:t>
      </w:r>
      <w:r w:rsidR="002B4275" w:rsidRPr="004952C5">
        <w:rPr>
          <w:i/>
          <w:color w:val="000000"/>
          <w:spacing w:val="-8"/>
          <w:lang w:val="sq-AL"/>
        </w:rPr>
        <w:t xml:space="preserve"> </w:t>
      </w:r>
      <w:r w:rsidR="002B4275" w:rsidRPr="004952C5">
        <w:rPr>
          <w:color w:val="000000"/>
          <w:spacing w:val="-8"/>
          <w:lang w:val="sq-AL"/>
        </w:rPr>
        <w:t>là phù hợp</w:t>
      </w:r>
      <w:r w:rsidRPr="004952C5">
        <w:rPr>
          <w:i/>
          <w:color w:val="000000"/>
          <w:spacing w:val="-8"/>
          <w:lang w:val="sq-AL"/>
        </w:rPr>
        <w:t>.</w:t>
      </w:r>
    </w:p>
    <w:p w:rsidR="00693A2B" w:rsidRPr="00EC3E8F" w:rsidRDefault="00693A2B" w:rsidP="002B4275">
      <w:pPr>
        <w:spacing w:after="60"/>
        <w:ind w:firstLine="720"/>
        <w:jc w:val="both"/>
        <w:rPr>
          <w:color w:val="000000"/>
          <w:lang w:val="sq-AL"/>
        </w:rPr>
      </w:pPr>
      <w:r w:rsidRPr="00EC3E8F">
        <w:rPr>
          <w:color w:val="000000"/>
          <w:lang w:val="sq-AL"/>
        </w:rPr>
        <w:t xml:space="preserve">- Tỷ lệ bao phủ BHYT toàn tỉnh tính đến nay là 87% dân số </w:t>
      </w:r>
      <w:r w:rsidRPr="00EC3E8F">
        <w:rPr>
          <w:i/>
          <w:color w:val="000000"/>
          <w:lang w:val="sq-AL"/>
        </w:rPr>
        <w:t>(</w:t>
      </w:r>
      <w:r w:rsidRPr="00EC3E8F">
        <w:rPr>
          <w:i/>
          <w:color w:val="000000"/>
          <w:lang w:val="vi-VN"/>
        </w:rPr>
        <w:t>nhiều địa phương đã đạt</w:t>
      </w:r>
      <w:r w:rsidRPr="00EC3E8F">
        <w:rPr>
          <w:i/>
          <w:color w:val="000000"/>
          <w:lang w:val="sq-AL"/>
        </w:rPr>
        <w:t xml:space="preserve"> trên</w:t>
      </w:r>
      <w:r w:rsidRPr="00EC3E8F">
        <w:rPr>
          <w:i/>
          <w:color w:val="000000"/>
          <w:lang w:val="vi-VN"/>
        </w:rPr>
        <w:t xml:space="preserve"> </w:t>
      </w:r>
      <w:r w:rsidRPr="00EC3E8F">
        <w:rPr>
          <w:i/>
          <w:color w:val="000000"/>
          <w:lang w:val="sq-AL"/>
        </w:rPr>
        <w:t>9</w:t>
      </w:r>
      <w:r w:rsidRPr="00EC3E8F">
        <w:rPr>
          <w:i/>
          <w:color w:val="000000"/>
          <w:lang w:val="vi-VN"/>
        </w:rPr>
        <w:t>0%</w:t>
      </w:r>
      <w:r w:rsidRPr="00EC3E8F">
        <w:rPr>
          <w:i/>
          <w:color w:val="000000"/>
          <w:lang w:val="sq-AL"/>
        </w:rPr>
        <w:t>)</w:t>
      </w:r>
      <w:r w:rsidRPr="00EC3E8F">
        <w:rPr>
          <w:color w:val="000000"/>
          <w:lang w:val="sq-AL"/>
        </w:rPr>
        <w:t xml:space="preserve">, trong đó đối tượng người nghèo, người cận nghèo, người cao tuổi và người thuộc hộ gia đình làm nông, lâm, ngư, diêm nghiệp có mức sống trung bình đã được Nhà nước hỗ trợ mua BHYT. Phần còn lại (13% dân số) là những đối tượng thuộc nhóm tham gia BHYT tự nguyện có mức thu nhập trung bình trở lên. Vì vậy, việc điều chỉnh giá dịch vụ khám bệnh, chữa bệnh không thuộc phạm vi thanh toán của </w:t>
      </w:r>
      <w:r w:rsidRPr="00EC3E8F">
        <w:rPr>
          <w:color w:val="000000"/>
          <w:lang w:val="vi-VN"/>
        </w:rPr>
        <w:t>Q</w:t>
      </w:r>
      <w:r w:rsidRPr="00EC3E8F">
        <w:rPr>
          <w:color w:val="000000"/>
          <w:lang w:val="sq-AL"/>
        </w:rPr>
        <w:t xml:space="preserve">uỹ bảo hiểm y tế như đề xuất </w:t>
      </w:r>
      <w:r w:rsidRPr="00EC3E8F">
        <w:rPr>
          <w:color w:val="000000"/>
          <w:lang w:val="vi-VN"/>
        </w:rPr>
        <w:t>tác động không nhiều đến người dân và chỉ số giá tiêu dùng</w:t>
      </w:r>
      <w:r w:rsidRPr="00EC3E8F">
        <w:rPr>
          <w:color w:val="000000"/>
          <w:lang w:val="sq-AL"/>
        </w:rPr>
        <w:t>.</w:t>
      </w:r>
    </w:p>
    <w:p w:rsidR="00C17FCF" w:rsidRPr="00EC3E8F" w:rsidRDefault="00693A2B" w:rsidP="002B4275">
      <w:pPr>
        <w:spacing w:after="60"/>
        <w:ind w:firstLine="720"/>
        <w:jc w:val="both"/>
        <w:rPr>
          <w:color w:val="000000"/>
          <w:lang w:val="sq-AL"/>
        </w:rPr>
      </w:pPr>
      <w:r w:rsidRPr="00EC3E8F">
        <w:rPr>
          <w:color w:val="000000"/>
          <w:lang w:val="sq-AL"/>
        </w:rPr>
        <w:t>- Việc xây dựng giá dịch vụ như đề xuất sẽ khuyến khích người dân mua thẻ BHYT, góp phần tăng độ bao phủ BHYT toàn dân như lộ trình đề ra.</w:t>
      </w:r>
    </w:p>
    <w:p w:rsidR="00C17FCF" w:rsidRPr="00CE1FD4" w:rsidRDefault="00FD6C06" w:rsidP="002B4275">
      <w:pPr>
        <w:spacing w:after="60"/>
        <w:ind w:firstLine="720"/>
        <w:jc w:val="both"/>
        <w:rPr>
          <w:color w:val="000000"/>
          <w:sz w:val="26"/>
          <w:szCs w:val="26"/>
          <w:lang w:val="sq-AL"/>
        </w:rPr>
      </w:pPr>
      <w:r w:rsidRPr="00CE1FD4">
        <w:rPr>
          <w:b/>
          <w:sz w:val="26"/>
          <w:szCs w:val="26"/>
        </w:rPr>
        <w:t xml:space="preserve">III. QUÁ TRÌNH XÂY DỰNG </w:t>
      </w:r>
      <w:r w:rsidR="00C17FCF" w:rsidRPr="00CE1FD4">
        <w:rPr>
          <w:b/>
          <w:sz w:val="26"/>
          <w:szCs w:val="26"/>
        </w:rPr>
        <w:t xml:space="preserve">DỰ THẢO </w:t>
      </w:r>
      <w:r w:rsidR="00CE1FD4" w:rsidRPr="00CE1FD4">
        <w:rPr>
          <w:b/>
          <w:sz w:val="26"/>
          <w:szCs w:val="26"/>
        </w:rPr>
        <w:t>NGHỊ QUYẾT</w:t>
      </w:r>
    </w:p>
    <w:p w:rsidR="00F63419" w:rsidRPr="00EC3E8F" w:rsidRDefault="00C17FCF" w:rsidP="002B4275">
      <w:pPr>
        <w:spacing w:after="60"/>
        <w:ind w:firstLine="720"/>
        <w:jc w:val="both"/>
        <w:rPr>
          <w:i/>
          <w:color w:val="000000"/>
          <w:lang w:val="sq-AL"/>
        </w:rPr>
      </w:pPr>
      <w:r w:rsidRPr="00EC3E8F">
        <w:rPr>
          <w:color w:val="000000"/>
          <w:lang w:val="sq-AL"/>
        </w:rPr>
        <w:t>Ủy ban nhân dân tỉnh giao Sở Y tế chủ trì, phối hợp với các cơ quan có liên quan xây dựng phương án giá</w:t>
      </w:r>
      <w:r w:rsidR="00CE2A5F">
        <w:rPr>
          <w:color w:val="000000"/>
          <w:lang w:val="sq-AL"/>
        </w:rPr>
        <w:t>, dự thảo Nghị quyết, lấy</w:t>
      </w:r>
      <w:r w:rsidRPr="00EC3E8F">
        <w:rPr>
          <w:color w:val="000000"/>
          <w:lang w:val="sq-AL"/>
        </w:rPr>
        <w:t xml:space="preserve"> ý kiến của </w:t>
      </w:r>
      <w:r w:rsidR="00CE2A5F">
        <w:rPr>
          <w:color w:val="000000"/>
          <w:lang w:val="sq-AL"/>
        </w:rPr>
        <w:t>các cơ quan liên quan và</w:t>
      </w:r>
      <w:r w:rsidRPr="00EC3E8F">
        <w:rPr>
          <w:color w:val="000000"/>
          <w:lang w:val="sq-AL"/>
        </w:rPr>
        <w:t xml:space="preserve"> UBND</w:t>
      </w:r>
      <w:r w:rsidR="00FA3CDF" w:rsidRPr="00EC3E8F">
        <w:rPr>
          <w:color w:val="000000"/>
          <w:lang w:val="sq-AL"/>
        </w:rPr>
        <w:t xml:space="preserve"> </w:t>
      </w:r>
      <w:r w:rsidR="00CE2A5F">
        <w:rPr>
          <w:color w:val="000000"/>
          <w:lang w:val="sq-AL"/>
        </w:rPr>
        <w:t>các</w:t>
      </w:r>
      <w:r w:rsidRPr="00EC3E8F">
        <w:rPr>
          <w:color w:val="000000"/>
          <w:lang w:val="sq-AL"/>
        </w:rPr>
        <w:t xml:space="preserve"> huyện, thành phố,</w:t>
      </w:r>
      <w:r w:rsidR="00CE2A5F">
        <w:rPr>
          <w:color w:val="000000"/>
          <w:lang w:val="sq-AL"/>
        </w:rPr>
        <w:t xml:space="preserve"> thị xã,</w:t>
      </w:r>
      <w:r w:rsidRPr="00EC3E8F">
        <w:rPr>
          <w:color w:val="000000"/>
          <w:lang w:val="sq-AL"/>
        </w:rPr>
        <w:t xml:space="preserve"> </w:t>
      </w:r>
      <w:r w:rsidR="00CE2A5F">
        <w:rPr>
          <w:color w:val="000000"/>
          <w:lang w:val="sq-AL"/>
        </w:rPr>
        <w:t xml:space="preserve">các </w:t>
      </w:r>
      <w:r w:rsidRPr="00EC3E8F">
        <w:rPr>
          <w:color w:val="000000"/>
          <w:lang w:val="sq-AL"/>
        </w:rPr>
        <w:t xml:space="preserve">bệnh viện </w:t>
      </w:r>
      <w:r w:rsidR="00CE2A5F">
        <w:rPr>
          <w:color w:val="000000"/>
          <w:lang w:val="sq-AL"/>
        </w:rPr>
        <w:t xml:space="preserve">công lập trong tỉnh; </w:t>
      </w:r>
      <w:r w:rsidR="00FA53F0" w:rsidRPr="00EC3E8F">
        <w:rPr>
          <w:color w:val="000000"/>
          <w:lang w:val="sq-AL"/>
        </w:rPr>
        <w:t>đã được Sở Tài chính</w:t>
      </w:r>
      <w:r w:rsidR="00CE2A5F">
        <w:rPr>
          <w:color w:val="000000"/>
          <w:lang w:val="sq-AL"/>
        </w:rPr>
        <w:t xml:space="preserve">, </w:t>
      </w:r>
      <w:r w:rsidR="00FA53F0" w:rsidRPr="00EC3E8F">
        <w:rPr>
          <w:color w:val="000000"/>
          <w:lang w:val="sq-AL"/>
        </w:rPr>
        <w:t>Sở Tư pháp thẩm định</w:t>
      </w:r>
      <w:r w:rsidR="00CE2A5F">
        <w:rPr>
          <w:color w:val="000000"/>
          <w:lang w:val="sq-AL"/>
        </w:rPr>
        <w:t xml:space="preserve">; Ủy ban nhân dân tỉnh soát xét, </w:t>
      </w:r>
      <w:r w:rsidR="00CE2A5F" w:rsidRPr="00CE2A5F">
        <w:rPr>
          <w:lang w:val="nb-NO" w:eastAsia="vi-VN"/>
        </w:rPr>
        <w:t>hoàn chỉnh</w:t>
      </w:r>
      <w:r w:rsidR="00CE2A5F">
        <w:rPr>
          <w:lang w:val="nb-NO" w:eastAsia="vi-VN"/>
        </w:rPr>
        <w:t xml:space="preserve">, </w:t>
      </w:r>
      <w:r w:rsidR="00CE2A5F" w:rsidRPr="00CE2A5F">
        <w:rPr>
          <w:lang w:val="nb-NO" w:eastAsia="vi-VN"/>
        </w:rPr>
        <w:t>trình HĐND tỉnh thông qua</w:t>
      </w:r>
      <w:r w:rsidR="00CE2A5F" w:rsidRPr="00CE2A5F">
        <w:rPr>
          <w:spacing w:val="-2"/>
          <w:lang w:val="nb-NO" w:eastAsia="vi-VN"/>
        </w:rPr>
        <w:t xml:space="preserve"> theo đ</w:t>
      </w:r>
      <w:r w:rsidR="00CE2A5F">
        <w:rPr>
          <w:spacing w:val="-2"/>
          <w:lang w:val="nb-NO" w:eastAsia="vi-VN"/>
        </w:rPr>
        <w:t>úng quy trình, quy định</w:t>
      </w:r>
      <w:r w:rsidR="00CE2A5F" w:rsidRPr="00CE2A5F">
        <w:rPr>
          <w:spacing w:val="-2"/>
          <w:lang w:val="nb-NO" w:eastAsia="vi-VN"/>
        </w:rPr>
        <w:t>.</w:t>
      </w:r>
    </w:p>
    <w:p w:rsidR="00F63419" w:rsidRPr="00CE2A5F" w:rsidRDefault="00F63419" w:rsidP="002B4275">
      <w:pPr>
        <w:spacing w:after="60"/>
        <w:ind w:firstLine="720"/>
        <w:jc w:val="both"/>
        <w:rPr>
          <w:i/>
          <w:color w:val="000000"/>
          <w:sz w:val="26"/>
          <w:szCs w:val="26"/>
          <w:lang w:val="sq-AL"/>
        </w:rPr>
      </w:pPr>
      <w:r w:rsidRPr="00CE2A5F">
        <w:rPr>
          <w:b/>
          <w:sz w:val="26"/>
          <w:szCs w:val="26"/>
        </w:rPr>
        <w:t xml:space="preserve">IV. BỐ CỤC VÀ NỘI DUNG CƠ BẢN CỦA DỰ THẢO </w:t>
      </w:r>
      <w:r w:rsidR="00CE2A5F">
        <w:rPr>
          <w:b/>
          <w:sz w:val="26"/>
          <w:szCs w:val="26"/>
        </w:rPr>
        <w:t>NGHỊ QUYẾT</w:t>
      </w:r>
    </w:p>
    <w:p w:rsidR="002E4374" w:rsidRPr="00EC3E8F" w:rsidRDefault="002E4374" w:rsidP="002B4275">
      <w:pPr>
        <w:spacing w:after="60"/>
        <w:ind w:firstLine="720"/>
        <w:jc w:val="both"/>
        <w:rPr>
          <w:b/>
        </w:rPr>
      </w:pPr>
      <w:r w:rsidRPr="00EC3E8F">
        <w:rPr>
          <w:b/>
        </w:rPr>
        <w:t xml:space="preserve">1. </w:t>
      </w:r>
      <w:r w:rsidR="00F63419" w:rsidRPr="00EC3E8F">
        <w:rPr>
          <w:b/>
        </w:rPr>
        <w:t>Bố cục</w:t>
      </w:r>
      <w:r w:rsidR="00CE2A5F">
        <w:rPr>
          <w:b/>
        </w:rPr>
        <w:t xml:space="preserve"> của </w:t>
      </w:r>
      <w:r w:rsidRPr="00EC3E8F">
        <w:rPr>
          <w:b/>
        </w:rPr>
        <w:t xml:space="preserve">Dự thảo </w:t>
      </w:r>
      <w:r w:rsidR="00CE2A5F">
        <w:rPr>
          <w:b/>
        </w:rPr>
        <w:t xml:space="preserve">Nghị quyết: </w:t>
      </w:r>
      <w:r w:rsidR="00CE2A5F" w:rsidRPr="00CE2A5F">
        <w:t>G</w:t>
      </w:r>
      <w:r w:rsidRPr="00CE2A5F">
        <w:t>ồm 5 Điều</w:t>
      </w:r>
    </w:p>
    <w:p w:rsidR="002E4374" w:rsidRPr="00EC3E8F" w:rsidRDefault="002E4374" w:rsidP="002B4275">
      <w:pPr>
        <w:spacing w:after="60"/>
        <w:ind w:firstLine="720"/>
        <w:jc w:val="both"/>
      </w:pPr>
      <w:bookmarkStart w:id="1" w:name="dieu_1"/>
      <w:r w:rsidRPr="00EC3E8F">
        <w:rPr>
          <w:bCs/>
          <w:lang w:val="vi-VN"/>
        </w:rPr>
        <w:t>Điều 1. Phạm vi điều chỉnh và đối tượng áp dụng</w:t>
      </w:r>
      <w:bookmarkEnd w:id="1"/>
    </w:p>
    <w:p w:rsidR="002E4374" w:rsidRPr="004952C5" w:rsidRDefault="002E4374" w:rsidP="002B4275">
      <w:pPr>
        <w:spacing w:after="60"/>
        <w:ind w:firstLine="720"/>
        <w:jc w:val="both"/>
      </w:pPr>
      <w:bookmarkStart w:id="2" w:name="dieu_2"/>
      <w:r w:rsidRPr="00EC3E8F">
        <w:rPr>
          <w:bCs/>
          <w:lang w:val="vi-VN"/>
        </w:rPr>
        <w:t xml:space="preserve">Điều 2. Mức giá dịch vụ khám bệnh, chữa bệnh không thuộc phạm vi thanh toán của Quỹ bảo hiểm y tế trong các cơ sở khám bệnh, chữa bệnh </w:t>
      </w:r>
      <w:r w:rsidR="00BA67DB">
        <w:rPr>
          <w:bCs/>
        </w:rPr>
        <w:t xml:space="preserve">của Nhà nước </w:t>
      </w:r>
      <w:r w:rsidRPr="00EC3E8F">
        <w:rPr>
          <w:bCs/>
          <w:lang w:val="vi-VN"/>
        </w:rPr>
        <w:t>trên địa bàn tỉnh</w:t>
      </w:r>
      <w:bookmarkEnd w:id="2"/>
      <w:r w:rsidR="004952C5">
        <w:rPr>
          <w:bCs/>
        </w:rPr>
        <w:t>.</w:t>
      </w:r>
    </w:p>
    <w:p w:rsidR="002E4374" w:rsidRPr="00EC3E8F" w:rsidRDefault="002E4374" w:rsidP="002B4275">
      <w:pPr>
        <w:spacing w:after="60"/>
        <w:ind w:firstLine="720"/>
        <w:jc w:val="both"/>
      </w:pPr>
      <w:bookmarkStart w:id="3" w:name="dieu_3"/>
      <w:r w:rsidRPr="00EC3E8F">
        <w:rPr>
          <w:bCs/>
          <w:lang w:val="vi-VN"/>
        </w:rPr>
        <w:t>Điều 3. Điều khoản thi hành</w:t>
      </w:r>
      <w:bookmarkEnd w:id="3"/>
    </w:p>
    <w:p w:rsidR="002E4374" w:rsidRPr="00EC3E8F" w:rsidRDefault="002E4374" w:rsidP="002B4275">
      <w:pPr>
        <w:spacing w:after="60"/>
        <w:ind w:firstLine="720"/>
        <w:jc w:val="both"/>
      </w:pPr>
      <w:bookmarkStart w:id="4" w:name="dieu_4"/>
      <w:r w:rsidRPr="00EC3E8F">
        <w:rPr>
          <w:bCs/>
          <w:lang w:val="vi-VN"/>
        </w:rPr>
        <w:t>Điều 4. Điều khoản chuyển tiếp</w:t>
      </w:r>
      <w:bookmarkEnd w:id="4"/>
    </w:p>
    <w:p w:rsidR="002E4374" w:rsidRPr="00EC3E8F" w:rsidRDefault="002E4374" w:rsidP="002B4275">
      <w:pPr>
        <w:spacing w:after="60"/>
        <w:ind w:firstLine="720"/>
        <w:jc w:val="both"/>
        <w:rPr>
          <w:bCs/>
        </w:rPr>
      </w:pPr>
      <w:bookmarkStart w:id="5" w:name="dieu_5"/>
      <w:r w:rsidRPr="00EC3E8F">
        <w:rPr>
          <w:bCs/>
          <w:lang w:val="vi-VN"/>
        </w:rPr>
        <w:t>Điều 5. Tổ chức thực hiện</w:t>
      </w:r>
      <w:bookmarkEnd w:id="5"/>
      <w:r w:rsidRPr="00EC3E8F">
        <w:rPr>
          <w:bCs/>
        </w:rPr>
        <w:t xml:space="preserve"> </w:t>
      </w:r>
    </w:p>
    <w:p w:rsidR="00F63419" w:rsidRPr="00EC3E8F" w:rsidRDefault="00F63419" w:rsidP="002B4275">
      <w:pPr>
        <w:spacing w:after="60"/>
        <w:ind w:firstLine="720"/>
        <w:jc w:val="both"/>
        <w:rPr>
          <w:b/>
        </w:rPr>
      </w:pPr>
      <w:r w:rsidRPr="00EC3E8F">
        <w:rPr>
          <w:b/>
        </w:rPr>
        <w:t>2. Nội dung cơ bản</w:t>
      </w:r>
      <w:r w:rsidR="00CE2A5F">
        <w:rPr>
          <w:b/>
        </w:rPr>
        <w:t xml:space="preserve"> của Dự thảo Nghị quyết</w:t>
      </w:r>
      <w:r w:rsidR="002E4374" w:rsidRPr="00EC3E8F">
        <w:rPr>
          <w:b/>
        </w:rPr>
        <w:t xml:space="preserve">: </w:t>
      </w:r>
    </w:p>
    <w:p w:rsidR="00CF2648" w:rsidRPr="00EC3E8F" w:rsidRDefault="002B4275" w:rsidP="002B4275">
      <w:pPr>
        <w:spacing w:after="60"/>
        <w:ind w:firstLine="720"/>
        <w:jc w:val="both"/>
      </w:pPr>
      <w:r>
        <w:rPr>
          <w:b/>
          <w:bCs/>
        </w:rPr>
        <w:t>2.1</w:t>
      </w:r>
      <w:r w:rsidR="00CF2648" w:rsidRPr="00EC3E8F">
        <w:rPr>
          <w:b/>
          <w:bCs/>
          <w:lang w:val="vi-VN"/>
        </w:rPr>
        <w:t>. Phạm vi điều chỉnh và đối tượng áp dụng</w:t>
      </w:r>
    </w:p>
    <w:p w:rsidR="00CF2648" w:rsidRPr="00EC3E8F" w:rsidRDefault="002B4275" w:rsidP="002B4275">
      <w:pPr>
        <w:spacing w:after="60"/>
        <w:ind w:firstLine="720"/>
        <w:jc w:val="both"/>
      </w:pPr>
      <w:r>
        <w:t>-</w:t>
      </w:r>
      <w:r w:rsidR="00CF2648" w:rsidRPr="00EC3E8F">
        <w:rPr>
          <w:lang w:val="vi-VN"/>
        </w:rPr>
        <w:t xml:space="preserve"> Phạm vi điều chỉnh: Quy định mức giá dịch vụ khám bệnh, chữa bệnh không thuộc phạm vi thanh toán của Quỹ bảo hiểm y tế trong các cơ sở khám bệnh, chữa bệnh </w:t>
      </w:r>
      <w:r w:rsidR="00BA67DB">
        <w:t>của Nhà nước</w:t>
      </w:r>
      <w:r w:rsidR="00CF2648" w:rsidRPr="00EC3E8F">
        <w:t xml:space="preserve"> trên</w:t>
      </w:r>
      <w:r w:rsidR="00CF2648" w:rsidRPr="00EC3E8F">
        <w:rPr>
          <w:lang w:val="vi-VN"/>
        </w:rPr>
        <w:t xml:space="preserve"> địa bàn tỉnh Hà Tĩnh.</w:t>
      </w:r>
    </w:p>
    <w:p w:rsidR="00CF2648" w:rsidRPr="00EC3E8F" w:rsidRDefault="002B4275" w:rsidP="002B4275">
      <w:pPr>
        <w:spacing w:after="60"/>
        <w:ind w:firstLine="720"/>
        <w:jc w:val="both"/>
      </w:pPr>
      <w:r>
        <w:t xml:space="preserve">- </w:t>
      </w:r>
      <w:r w:rsidR="00CF2648" w:rsidRPr="00EC3E8F">
        <w:rPr>
          <w:lang w:val="vi-VN"/>
        </w:rPr>
        <w:t xml:space="preserve">Đối tượng áp dụng: Các cơ sở khám bệnh, chữa bệnh </w:t>
      </w:r>
      <w:r w:rsidR="00BA67DB">
        <w:t>của Nhà nước</w:t>
      </w:r>
      <w:r w:rsidR="00CF2648" w:rsidRPr="00EC3E8F">
        <w:rPr>
          <w:lang w:val="vi-VN"/>
        </w:rPr>
        <w:t>;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sidR="00CF2648" w:rsidRPr="002B4275" w:rsidRDefault="002B4275" w:rsidP="002B4275">
      <w:pPr>
        <w:spacing w:after="60"/>
        <w:ind w:firstLine="720"/>
        <w:jc w:val="both"/>
      </w:pPr>
      <w:r>
        <w:rPr>
          <w:b/>
          <w:bCs/>
        </w:rPr>
        <w:lastRenderedPageBreak/>
        <w:t>2.2</w:t>
      </w:r>
      <w:r w:rsidR="00CF2648" w:rsidRPr="00EC3E8F">
        <w:rPr>
          <w:b/>
          <w:bCs/>
          <w:lang w:val="vi-VN"/>
        </w:rPr>
        <w:t xml:space="preserve">. </w:t>
      </w:r>
      <w:r>
        <w:rPr>
          <w:b/>
          <w:bCs/>
        </w:rPr>
        <w:t>Quy định các m</w:t>
      </w:r>
      <w:r w:rsidR="00CF2648" w:rsidRPr="00EC3E8F">
        <w:rPr>
          <w:b/>
          <w:bCs/>
          <w:lang w:val="vi-VN"/>
        </w:rPr>
        <w:t xml:space="preserve">ức giá dịch vụ khám bệnh, chữa bệnh không thuộc phạm vi thanh toán của Quỹ bảo hiểm y tế trong các cơ sở khám bệnh, chữa bệnh </w:t>
      </w:r>
      <w:r w:rsidR="00BA67DB">
        <w:rPr>
          <w:b/>
          <w:bCs/>
        </w:rPr>
        <w:t>của Nhà nước</w:t>
      </w:r>
      <w:r w:rsidR="00CF2648" w:rsidRPr="00EC3E8F">
        <w:rPr>
          <w:b/>
          <w:bCs/>
          <w:lang w:val="vi-VN"/>
        </w:rPr>
        <w:t xml:space="preserve"> trên địa bàn tỉnh</w:t>
      </w:r>
      <w:r>
        <w:rPr>
          <w:b/>
          <w:bCs/>
        </w:rPr>
        <w:t>, bao gồm</w:t>
      </w:r>
    </w:p>
    <w:p w:rsidR="00CF2648" w:rsidRPr="00EC3E8F" w:rsidRDefault="002B4275" w:rsidP="002B4275">
      <w:pPr>
        <w:spacing w:after="60"/>
        <w:ind w:firstLine="720"/>
        <w:jc w:val="both"/>
      </w:pPr>
      <w:r>
        <w:t>-</w:t>
      </w:r>
      <w:r w:rsidR="00CF2648" w:rsidRPr="00EC3E8F">
        <w:rPr>
          <w:lang w:val="vi-VN"/>
        </w:rPr>
        <w:t xml:space="preserve"> Mức giá dịch vụ khám bệnh</w:t>
      </w:r>
      <w:r w:rsidR="00CF2648" w:rsidRPr="00EC3E8F">
        <w:t>,</w:t>
      </w:r>
      <w:r w:rsidR="00CF2648" w:rsidRPr="00EC3E8F">
        <w:rPr>
          <w:lang w:val="vi-VN"/>
        </w:rPr>
        <w:t xml:space="preserve"> kiểm tra sức khỏe quy định tại Phụ lục 1 </w:t>
      </w:r>
      <w:r w:rsidR="00EE2E19">
        <w:rPr>
          <w:lang w:val="vi-VN"/>
        </w:rPr>
        <w:t>ban hành kèm theo Nghị quyết</w:t>
      </w:r>
      <w:r w:rsidR="00CF2648" w:rsidRPr="00EC3E8F">
        <w:rPr>
          <w:lang w:val="vi-VN"/>
        </w:rPr>
        <w:t>.</w:t>
      </w:r>
    </w:p>
    <w:p w:rsidR="00CF2648" w:rsidRPr="00EC3E8F" w:rsidRDefault="002B4275" w:rsidP="002B4275">
      <w:pPr>
        <w:spacing w:after="60"/>
        <w:ind w:firstLine="720"/>
        <w:jc w:val="both"/>
      </w:pPr>
      <w:r>
        <w:t>-</w:t>
      </w:r>
      <w:r w:rsidR="00CF2648" w:rsidRPr="00EC3E8F">
        <w:rPr>
          <w:lang w:val="vi-VN"/>
        </w:rPr>
        <w:t xml:space="preserve"> Mức giá dịch vụ ngày giường điều trị quy định tại Phụ lục 2 </w:t>
      </w:r>
      <w:r w:rsidR="00EE2E19">
        <w:rPr>
          <w:lang w:val="vi-VN"/>
        </w:rPr>
        <w:t>ban hành kèm theo Nghị quyết</w:t>
      </w:r>
      <w:r w:rsidR="00CF2648" w:rsidRPr="00EC3E8F">
        <w:rPr>
          <w:lang w:val="vi-VN"/>
        </w:rPr>
        <w:t>.</w:t>
      </w:r>
    </w:p>
    <w:p w:rsidR="00CF2648" w:rsidRPr="00EC3E8F" w:rsidRDefault="002B4275" w:rsidP="002B4275">
      <w:pPr>
        <w:spacing w:after="60"/>
        <w:ind w:firstLine="720"/>
        <w:jc w:val="both"/>
      </w:pPr>
      <w:r>
        <w:t>-</w:t>
      </w:r>
      <w:r w:rsidR="00CF2648" w:rsidRPr="00EC3E8F">
        <w:rPr>
          <w:lang w:val="vi-VN"/>
        </w:rPr>
        <w:t xml:space="preserve"> Mức giá dịch vụ kỹ thuật, xét nghiệm quy định tại Phụ lục 3 </w:t>
      </w:r>
      <w:r w:rsidR="00EE2E19">
        <w:rPr>
          <w:lang w:val="vi-VN"/>
        </w:rPr>
        <w:t>ban hành kèm theo Nghị quyết</w:t>
      </w:r>
      <w:r w:rsidR="00CF2648" w:rsidRPr="00EC3E8F">
        <w:rPr>
          <w:lang w:val="vi-VN"/>
        </w:rPr>
        <w:t>.</w:t>
      </w:r>
    </w:p>
    <w:p w:rsidR="00E342A6" w:rsidRPr="00EC3E8F" w:rsidRDefault="001112B4" w:rsidP="002B4275">
      <w:pPr>
        <w:spacing w:after="60"/>
        <w:ind w:firstLine="720"/>
        <w:jc w:val="both"/>
        <w:rPr>
          <w:i/>
          <w:lang w:val="sq-AL"/>
        </w:rPr>
      </w:pPr>
      <w:r w:rsidRPr="00EC3E8F">
        <w:rPr>
          <w:i/>
          <w:lang w:val="sq-AL"/>
        </w:rPr>
        <w:t>(</w:t>
      </w:r>
      <w:r w:rsidR="00EE2E19">
        <w:rPr>
          <w:i/>
          <w:lang w:val="sq-AL"/>
        </w:rPr>
        <w:t xml:space="preserve">Có </w:t>
      </w:r>
      <w:r w:rsidR="00827AC0" w:rsidRPr="00EC3E8F">
        <w:rPr>
          <w:i/>
          <w:lang w:val="sq-AL"/>
        </w:rPr>
        <w:t>D</w:t>
      </w:r>
      <w:r w:rsidRPr="00EC3E8F">
        <w:rPr>
          <w:i/>
          <w:lang w:val="sq-AL"/>
        </w:rPr>
        <w:t>ự thảo Nghị quyết và các</w:t>
      </w:r>
      <w:r w:rsidR="00FA3CDF" w:rsidRPr="00EC3E8F">
        <w:rPr>
          <w:i/>
          <w:lang w:val="sq-AL"/>
        </w:rPr>
        <w:t xml:space="preserve"> tài liệu</w:t>
      </w:r>
      <w:r w:rsidRPr="00EC3E8F">
        <w:rPr>
          <w:i/>
          <w:lang w:val="sq-AL"/>
        </w:rPr>
        <w:t xml:space="preserve"> </w:t>
      </w:r>
      <w:r w:rsidR="00FA3CDF" w:rsidRPr="00EC3E8F">
        <w:rPr>
          <w:i/>
        </w:rPr>
        <w:t>theo quy định của Luật ban hành văn bản quy phạm pháp luật năm 2015</w:t>
      </w:r>
      <w:r w:rsidR="00EE2E19">
        <w:rPr>
          <w:i/>
        </w:rPr>
        <w:t xml:space="preserve"> kèm theo</w:t>
      </w:r>
      <w:r w:rsidRPr="00EC3E8F">
        <w:rPr>
          <w:i/>
          <w:lang w:val="sq-AL"/>
        </w:rPr>
        <w:t>).</w:t>
      </w:r>
      <w:r w:rsidRPr="00EC3E8F">
        <w:rPr>
          <w:b/>
          <w:i/>
          <w:lang w:val="sq-AL"/>
        </w:rPr>
        <w:t xml:space="preserve"> </w:t>
      </w:r>
      <w:r w:rsidRPr="00EC3E8F">
        <w:rPr>
          <w:i/>
          <w:lang w:val="sq-AL"/>
        </w:rPr>
        <w:tab/>
      </w:r>
    </w:p>
    <w:p w:rsidR="00EE2E19" w:rsidRPr="00EE2E19" w:rsidRDefault="00EE2E19" w:rsidP="002B4275">
      <w:pPr>
        <w:spacing w:after="60"/>
        <w:ind w:firstLine="720"/>
        <w:jc w:val="both"/>
        <w:rPr>
          <w:color w:val="000000"/>
          <w:lang w:val="nb-NO"/>
        </w:rPr>
      </w:pPr>
      <w:r w:rsidRPr="00EE2E19">
        <w:rPr>
          <w:lang w:val="pt-BR"/>
        </w:rPr>
        <w:t xml:space="preserve">Ủy ban nhân dân tỉnh kính trình Hội đồng nhân dân tỉnh thông </w:t>
      </w:r>
      <w:r w:rsidRPr="00EC3E8F">
        <w:t>Nghị quyết Quy định mức giá dịch vụ khám bệnh, chữa bệnh không thuộc phạm vi thanh toán củ</w:t>
      </w:r>
      <w:r w:rsidR="002B4275">
        <w:t>a Quỹ bảo hiểm y tế trong các cơ</w:t>
      </w:r>
      <w:r w:rsidRPr="00EC3E8F">
        <w:t xml:space="preserve"> sở k</w:t>
      </w:r>
      <w:r w:rsidR="002B4275">
        <w:t xml:space="preserve">hám bệnh, chữa bệnh </w:t>
      </w:r>
      <w:r w:rsidR="00BA67DB">
        <w:t>của Nhà nước</w:t>
      </w:r>
      <w:r w:rsidRPr="00EC3E8F">
        <w:t xml:space="preserve"> trên địa bàn tỉnh Hà Tĩnh</w:t>
      </w:r>
      <w:r>
        <w:t xml:space="preserve"> </w:t>
      </w:r>
      <w:r w:rsidR="002B4275">
        <w:rPr>
          <w:lang w:val="pt-BR"/>
        </w:rPr>
        <w:t>tại Kỳ họp thứ 12</w:t>
      </w:r>
      <w:r w:rsidRPr="00EE2E19">
        <w:rPr>
          <w:lang w:val="pt-BR"/>
        </w:rPr>
        <w:t xml:space="preserve"> Hội đồng nhân dân tỉnh khóa XVII./.</w:t>
      </w:r>
    </w:p>
    <w:p w:rsidR="000E5215" w:rsidRPr="00704B84" w:rsidRDefault="000E5215" w:rsidP="0093070D">
      <w:pPr>
        <w:spacing w:before="80"/>
        <w:ind w:firstLine="720"/>
        <w:jc w:val="both"/>
        <w:rPr>
          <w:sz w:val="20"/>
          <w:lang w:val="sq-AL"/>
        </w:rPr>
      </w:pPr>
    </w:p>
    <w:tbl>
      <w:tblPr>
        <w:tblW w:w="0" w:type="auto"/>
        <w:tblLook w:val="01E0" w:firstRow="1" w:lastRow="1" w:firstColumn="1" w:lastColumn="1" w:noHBand="0" w:noVBand="0"/>
      </w:tblPr>
      <w:tblGrid>
        <w:gridCol w:w="4643"/>
        <w:gridCol w:w="4647"/>
      </w:tblGrid>
      <w:tr w:rsidR="00B84CB8" w:rsidTr="000E5215">
        <w:tc>
          <w:tcPr>
            <w:tcW w:w="4643" w:type="dxa"/>
          </w:tcPr>
          <w:p w:rsidR="00B84CB8" w:rsidRDefault="00B84CB8" w:rsidP="00B84CB8">
            <w:pPr>
              <w:rPr>
                <w:b/>
                <w:i/>
                <w:sz w:val="24"/>
                <w:szCs w:val="24"/>
              </w:rPr>
            </w:pPr>
            <w:r w:rsidRPr="00661DE2">
              <w:rPr>
                <w:b/>
                <w:i/>
                <w:sz w:val="24"/>
                <w:szCs w:val="24"/>
              </w:rPr>
              <w:t>Nơi nhận:</w:t>
            </w:r>
          </w:p>
          <w:p w:rsidR="000E5215" w:rsidRPr="00B253FA" w:rsidRDefault="000E5215" w:rsidP="00B84CB8">
            <w:pPr>
              <w:rPr>
                <w:sz w:val="22"/>
                <w:szCs w:val="22"/>
              </w:rPr>
            </w:pPr>
            <w:r w:rsidRPr="00B253FA">
              <w:rPr>
                <w:sz w:val="22"/>
                <w:szCs w:val="22"/>
              </w:rPr>
              <w:t>- Như trên;</w:t>
            </w:r>
          </w:p>
          <w:p w:rsidR="00B84CB8" w:rsidRDefault="00313857" w:rsidP="00B84CB8">
            <w:pPr>
              <w:rPr>
                <w:sz w:val="22"/>
                <w:szCs w:val="22"/>
              </w:rPr>
            </w:pPr>
            <w:r>
              <w:rPr>
                <w:sz w:val="22"/>
                <w:szCs w:val="22"/>
              </w:rPr>
              <w:t>- Thường trực</w:t>
            </w:r>
            <w:r w:rsidR="00635079" w:rsidRPr="00661DE2">
              <w:rPr>
                <w:sz w:val="22"/>
                <w:szCs w:val="22"/>
              </w:rPr>
              <w:t xml:space="preserve"> HĐND tỉnh</w:t>
            </w:r>
            <w:r w:rsidR="00B84CB8" w:rsidRPr="00661DE2">
              <w:rPr>
                <w:sz w:val="22"/>
                <w:szCs w:val="22"/>
              </w:rPr>
              <w:t>;</w:t>
            </w:r>
          </w:p>
          <w:p w:rsidR="000E5215" w:rsidRDefault="000E5215" w:rsidP="00B84CB8">
            <w:pPr>
              <w:rPr>
                <w:sz w:val="22"/>
                <w:szCs w:val="22"/>
              </w:rPr>
            </w:pPr>
            <w:r>
              <w:rPr>
                <w:sz w:val="22"/>
                <w:szCs w:val="22"/>
              </w:rPr>
              <w:t xml:space="preserve">- </w:t>
            </w:r>
            <w:r w:rsidR="000B3002">
              <w:rPr>
                <w:sz w:val="22"/>
                <w:szCs w:val="22"/>
                <w:lang w:val="vi-VN"/>
              </w:rPr>
              <w:t xml:space="preserve">Các </w:t>
            </w:r>
            <w:r>
              <w:rPr>
                <w:sz w:val="22"/>
                <w:szCs w:val="22"/>
              </w:rPr>
              <w:t>Ban HĐND tỉnh;</w:t>
            </w:r>
          </w:p>
          <w:p w:rsidR="00BB3736" w:rsidRPr="00DA5B15" w:rsidRDefault="00BB3736" w:rsidP="00BB3736">
            <w:pPr>
              <w:ind w:left="-108"/>
              <w:rPr>
                <w:sz w:val="22"/>
                <w:lang w:val="nl-NL"/>
              </w:rPr>
            </w:pPr>
            <w:r>
              <w:rPr>
                <w:sz w:val="22"/>
                <w:szCs w:val="22"/>
              </w:rPr>
              <w:t xml:space="preserve">  </w:t>
            </w:r>
            <w:r w:rsidR="00B84CB8" w:rsidRPr="00661DE2">
              <w:rPr>
                <w:sz w:val="22"/>
                <w:szCs w:val="22"/>
              </w:rPr>
              <w:t xml:space="preserve">- </w:t>
            </w:r>
            <w:r w:rsidR="00760847">
              <w:rPr>
                <w:sz w:val="22"/>
                <w:szCs w:val="22"/>
              </w:rPr>
              <w:t>Ch</w:t>
            </w:r>
            <w:r w:rsidR="00760847" w:rsidRPr="00760847">
              <w:rPr>
                <w:sz w:val="22"/>
                <w:szCs w:val="22"/>
              </w:rPr>
              <w:t>ủ</w:t>
            </w:r>
            <w:r w:rsidR="00760847">
              <w:rPr>
                <w:sz w:val="22"/>
                <w:szCs w:val="22"/>
              </w:rPr>
              <w:t xml:space="preserve"> t</w:t>
            </w:r>
            <w:r w:rsidR="00760847" w:rsidRPr="00760847">
              <w:rPr>
                <w:sz w:val="22"/>
                <w:szCs w:val="22"/>
              </w:rPr>
              <w:t>ịch</w:t>
            </w:r>
            <w:r>
              <w:rPr>
                <w:sz w:val="22"/>
                <w:szCs w:val="22"/>
              </w:rPr>
              <w:t xml:space="preserve">, </w:t>
            </w:r>
            <w:r w:rsidRPr="00DA5B15">
              <w:rPr>
                <w:sz w:val="22"/>
                <w:lang w:val="nl-NL"/>
              </w:rPr>
              <w:t>các PCT</w:t>
            </w:r>
            <w:r>
              <w:rPr>
                <w:sz w:val="22"/>
                <w:lang w:val="nl-NL"/>
              </w:rPr>
              <w:t xml:space="preserve"> </w:t>
            </w:r>
            <w:r w:rsidRPr="00DA5B15">
              <w:rPr>
                <w:sz w:val="22"/>
                <w:lang w:val="nl-NL"/>
              </w:rPr>
              <w:t>UBND tỉnh;</w:t>
            </w:r>
          </w:p>
          <w:p w:rsidR="00B84CB8" w:rsidRDefault="00760847" w:rsidP="00BB3736">
            <w:pPr>
              <w:ind w:left="-108"/>
              <w:rPr>
                <w:sz w:val="22"/>
                <w:lang w:val="vi-VN"/>
              </w:rPr>
            </w:pPr>
            <w:r>
              <w:rPr>
                <w:sz w:val="22"/>
                <w:szCs w:val="22"/>
              </w:rPr>
              <w:t xml:space="preserve"> </w:t>
            </w:r>
            <w:r w:rsidR="00BB3736">
              <w:rPr>
                <w:sz w:val="22"/>
                <w:szCs w:val="22"/>
              </w:rPr>
              <w:t xml:space="preserve"> </w:t>
            </w:r>
            <w:r w:rsidR="00BB3736" w:rsidRPr="00DA5B15">
              <w:rPr>
                <w:sz w:val="22"/>
                <w:lang w:val="nl-NL"/>
              </w:rPr>
              <w:t xml:space="preserve">- </w:t>
            </w:r>
            <w:r w:rsidR="00BB3736">
              <w:rPr>
                <w:sz w:val="22"/>
                <w:lang w:val="nl-NL"/>
              </w:rPr>
              <w:t>C</w:t>
            </w:r>
            <w:r w:rsidR="000B3002">
              <w:rPr>
                <w:sz w:val="22"/>
                <w:lang w:val="vi-VN"/>
              </w:rPr>
              <w:t xml:space="preserve">hánh VP, </w:t>
            </w:r>
            <w:r w:rsidR="000B3002">
              <w:rPr>
                <w:sz w:val="22"/>
                <w:lang w:val="nl-NL"/>
              </w:rPr>
              <w:t>các P</w:t>
            </w:r>
            <w:r w:rsidR="000B3002">
              <w:rPr>
                <w:sz w:val="22"/>
                <w:lang w:val="vi-VN"/>
              </w:rPr>
              <w:t>hó Văn phòng</w:t>
            </w:r>
            <w:r w:rsidR="00BB3736">
              <w:rPr>
                <w:sz w:val="22"/>
                <w:lang w:val="nl-NL"/>
              </w:rPr>
              <w:t>;</w:t>
            </w:r>
          </w:p>
          <w:p w:rsidR="00A26EC1" w:rsidRPr="00A26EC1" w:rsidRDefault="00A26EC1" w:rsidP="00BB3736">
            <w:pPr>
              <w:ind w:left="-108"/>
              <w:rPr>
                <w:sz w:val="22"/>
                <w:lang w:val="vi-VN"/>
              </w:rPr>
            </w:pPr>
            <w:r>
              <w:rPr>
                <w:sz w:val="22"/>
                <w:lang w:val="vi-VN"/>
              </w:rPr>
              <w:t xml:space="preserve">  - Trung tâm TT-CB-TH;</w:t>
            </w:r>
          </w:p>
          <w:p w:rsidR="000E5215" w:rsidRDefault="00760847" w:rsidP="00B84CB8">
            <w:pPr>
              <w:rPr>
                <w:sz w:val="22"/>
                <w:szCs w:val="22"/>
              </w:rPr>
            </w:pPr>
            <w:r>
              <w:rPr>
                <w:sz w:val="22"/>
                <w:szCs w:val="22"/>
              </w:rPr>
              <w:t>- Lưu: VT, TH</w:t>
            </w:r>
            <w:r w:rsidR="000B3002">
              <w:rPr>
                <w:sz w:val="22"/>
                <w:szCs w:val="22"/>
                <w:lang w:val="vi-VN"/>
              </w:rPr>
              <w:t>, VX</w:t>
            </w:r>
            <w:r w:rsidR="000B3002">
              <w:rPr>
                <w:sz w:val="16"/>
                <w:szCs w:val="22"/>
                <w:lang w:val="vi-VN"/>
              </w:rPr>
              <w:t>1</w:t>
            </w:r>
            <w:r w:rsidR="000E5215">
              <w:rPr>
                <w:sz w:val="22"/>
                <w:szCs w:val="22"/>
              </w:rPr>
              <w:t>.</w:t>
            </w:r>
          </w:p>
          <w:p w:rsidR="00B84CB8" w:rsidRPr="00661DE2" w:rsidRDefault="00B84CB8" w:rsidP="00B84CB8">
            <w:pPr>
              <w:rPr>
                <w:sz w:val="22"/>
                <w:szCs w:val="22"/>
              </w:rPr>
            </w:pPr>
          </w:p>
          <w:p w:rsidR="00B84CB8" w:rsidRDefault="00B84CB8" w:rsidP="00C2673D"/>
        </w:tc>
        <w:tc>
          <w:tcPr>
            <w:tcW w:w="4647" w:type="dxa"/>
          </w:tcPr>
          <w:p w:rsidR="00B84CB8" w:rsidRPr="000B3002" w:rsidRDefault="000B3002" w:rsidP="00661DE2">
            <w:pPr>
              <w:jc w:val="center"/>
              <w:rPr>
                <w:b/>
                <w:sz w:val="26"/>
                <w:szCs w:val="26"/>
                <w:lang w:val="vi-VN"/>
              </w:rPr>
            </w:pPr>
            <w:r w:rsidRPr="000B3002">
              <w:rPr>
                <w:b/>
                <w:sz w:val="26"/>
                <w:szCs w:val="26"/>
              </w:rPr>
              <w:t>TM. ỦY BAN NHÂN DÂN</w:t>
            </w:r>
          </w:p>
          <w:p w:rsidR="00B84CB8" w:rsidRPr="000B3002" w:rsidRDefault="00760847" w:rsidP="00661DE2">
            <w:pPr>
              <w:jc w:val="center"/>
              <w:rPr>
                <w:b/>
                <w:sz w:val="26"/>
                <w:szCs w:val="26"/>
              </w:rPr>
            </w:pPr>
            <w:r w:rsidRPr="000B3002">
              <w:rPr>
                <w:b/>
                <w:sz w:val="26"/>
                <w:szCs w:val="26"/>
              </w:rPr>
              <w:t>KT. CHỦ TỊCH</w:t>
            </w:r>
          </w:p>
          <w:p w:rsidR="00760847" w:rsidRPr="000B3002" w:rsidRDefault="00760847" w:rsidP="00661DE2">
            <w:pPr>
              <w:jc w:val="center"/>
              <w:rPr>
                <w:b/>
                <w:sz w:val="26"/>
                <w:szCs w:val="26"/>
              </w:rPr>
            </w:pPr>
            <w:r w:rsidRPr="000B3002">
              <w:rPr>
                <w:b/>
                <w:sz w:val="26"/>
                <w:szCs w:val="26"/>
              </w:rPr>
              <w:t>PHÓ CHỦ TỊCH</w:t>
            </w:r>
          </w:p>
          <w:p w:rsidR="00B84CB8" w:rsidRDefault="00B84CB8" w:rsidP="00661DE2">
            <w:pPr>
              <w:jc w:val="center"/>
              <w:rPr>
                <w:b/>
              </w:rPr>
            </w:pPr>
          </w:p>
          <w:p w:rsidR="00FD6C06" w:rsidRDefault="00FD6C06" w:rsidP="00661DE2">
            <w:pPr>
              <w:jc w:val="center"/>
              <w:rPr>
                <w:b/>
              </w:rPr>
            </w:pPr>
          </w:p>
          <w:p w:rsidR="00704B84" w:rsidRDefault="00704B84" w:rsidP="00661DE2">
            <w:pPr>
              <w:jc w:val="center"/>
              <w:rPr>
                <w:b/>
              </w:rPr>
            </w:pPr>
          </w:p>
          <w:p w:rsidR="00704B84" w:rsidRDefault="00704B84" w:rsidP="00661DE2">
            <w:pPr>
              <w:jc w:val="center"/>
              <w:rPr>
                <w:b/>
              </w:rPr>
            </w:pPr>
          </w:p>
          <w:p w:rsidR="00704B84" w:rsidRPr="00704B84" w:rsidRDefault="00704B84" w:rsidP="00661DE2">
            <w:pPr>
              <w:jc w:val="center"/>
              <w:rPr>
                <w:b/>
                <w:sz w:val="20"/>
              </w:rPr>
            </w:pPr>
          </w:p>
          <w:p w:rsidR="00BB3736" w:rsidRDefault="00BB3736" w:rsidP="00661DE2">
            <w:pPr>
              <w:jc w:val="center"/>
              <w:rPr>
                <w:b/>
                <w:lang w:val="vi-VN"/>
              </w:rPr>
            </w:pPr>
          </w:p>
          <w:p w:rsidR="00B84CB8" w:rsidRPr="00DB00BC" w:rsidRDefault="00760847" w:rsidP="00661DE2">
            <w:pPr>
              <w:jc w:val="center"/>
              <w:rPr>
                <w:sz w:val="22"/>
                <w:szCs w:val="22"/>
              </w:rPr>
            </w:pPr>
            <w:r w:rsidRPr="00840D04">
              <w:rPr>
                <w:b/>
              </w:rPr>
              <w:t xml:space="preserve">Đặng </w:t>
            </w:r>
            <w:r w:rsidR="000B3002">
              <w:rPr>
                <w:b/>
                <w:lang w:val="vi-VN"/>
              </w:rPr>
              <w:t xml:space="preserve"> </w:t>
            </w:r>
            <w:r w:rsidRPr="00840D04">
              <w:rPr>
                <w:b/>
              </w:rPr>
              <w:t>Quốc</w:t>
            </w:r>
            <w:r w:rsidR="000B3002">
              <w:rPr>
                <w:b/>
                <w:lang w:val="vi-VN"/>
              </w:rPr>
              <w:t xml:space="preserve"> </w:t>
            </w:r>
            <w:r w:rsidRPr="00840D04">
              <w:rPr>
                <w:b/>
              </w:rPr>
              <w:t xml:space="preserve"> Vinh</w:t>
            </w:r>
          </w:p>
        </w:tc>
      </w:tr>
    </w:tbl>
    <w:p w:rsidR="00B84CB8" w:rsidRDefault="00B84CB8" w:rsidP="00C2673D"/>
    <w:p w:rsidR="00B6041C" w:rsidRDefault="00B6041C" w:rsidP="00C2673D"/>
    <w:p w:rsidR="00B6041C" w:rsidRPr="007C3241" w:rsidRDefault="00B6041C" w:rsidP="00C2673D">
      <w:pPr>
        <w:rPr>
          <w:lang w:val="sq-AL"/>
        </w:rPr>
      </w:pPr>
    </w:p>
    <w:sectPr w:rsidR="00B6041C" w:rsidRPr="007C3241" w:rsidSect="002B4275">
      <w:footerReference w:type="even" r:id="rId9"/>
      <w:footerReference w:type="default" r:id="rId10"/>
      <w:pgSz w:w="11909" w:h="16834" w:code="9"/>
      <w:pgMar w:top="965" w:right="1008" w:bottom="1008"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DF1" w:rsidRDefault="00DB7DF1">
      <w:r>
        <w:separator/>
      </w:r>
    </w:p>
  </w:endnote>
  <w:endnote w:type="continuationSeparator" w:id="0">
    <w:p w:rsidR="00DB7DF1" w:rsidRDefault="00DB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75" w:rsidRDefault="00620875" w:rsidP="00F15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0875" w:rsidRDefault="00620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875" w:rsidRDefault="00620875" w:rsidP="00F152DF">
    <w:pPr>
      <w:pStyle w:val="Footer"/>
      <w:framePr w:wrap="around" w:vAnchor="text" w:hAnchor="margin" w:xAlign="center" w:y="1"/>
      <w:rPr>
        <w:rStyle w:val="PageNumber"/>
      </w:rPr>
    </w:pPr>
  </w:p>
  <w:p w:rsidR="00620875" w:rsidRDefault="00620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DF1" w:rsidRDefault="00DB7DF1">
      <w:r>
        <w:separator/>
      </w:r>
    </w:p>
  </w:footnote>
  <w:footnote w:type="continuationSeparator" w:id="0">
    <w:p w:rsidR="00DB7DF1" w:rsidRDefault="00DB7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F3687"/>
    <w:multiLevelType w:val="hybridMultilevel"/>
    <w:tmpl w:val="0C9AAA18"/>
    <w:lvl w:ilvl="0" w:tplc="9C5E3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674ACB"/>
    <w:multiLevelType w:val="hybridMultilevel"/>
    <w:tmpl w:val="5936F358"/>
    <w:lvl w:ilvl="0" w:tplc="7A4ADF7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45825C0"/>
    <w:multiLevelType w:val="hybridMultilevel"/>
    <w:tmpl w:val="779E4DDE"/>
    <w:lvl w:ilvl="0" w:tplc="A268199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11"/>
    <w:rsid w:val="0000058E"/>
    <w:rsid w:val="0003350E"/>
    <w:rsid w:val="00037FEC"/>
    <w:rsid w:val="00047246"/>
    <w:rsid w:val="000A205B"/>
    <w:rsid w:val="000A2AF7"/>
    <w:rsid w:val="000A4532"/>
    <w:rsid w:val="000A64FD"/>
    <w:rsid w:val="000B23A3"/>
    <w:rsid w:val="000B3002"/>
    <w:rsid w:val="000C3424"/>
    <w:rsid w:val="000C6517"/>
    <w:rsid w:val="000D2CB4"/>
    <w:rsid w:val="000D3EA1"/>
    <w:rsid w:val="000D607F"/>
    <w:rsid w:val="000E5215"/>
    <w:rsid w:val="000F62C1"/>
    <w:rsid w:val="000F70B3"/>
    <w:rsid w:val="001051F0"/>
    <w:rsid w:val="001112B4"/>
    <w:rsid w:val="0011451E"/>
    <w:rsid w:val="00114B21"/>
    <w:rsid w:val="00135B6D"/>
    <w:rsid w:val="00143910"/>
    <w:rsid w:val="00163F3C"/>
    <w:rsid w:val="001A3AEC"/>
    <w:rsid w:val="001B0B49"/>
    <w:rsid w:val="001B0BC3"/>
    <w:rsid w:val="001B10DB"/>
    <w:rsid w:val="001B3911"/>
    <w:rsid w:val="001C516F"/>
    <w:rsid w:val="001E35D9"/>
    <w:rsid w:val="00201AAC"/>
    <w:rsid w:val="00203BFA"/>
    <w:rsid w:val="00207E62"/>
    <w:rsid w:val="00214D34"/>
    <w:rsid w:val="002150D1"/>
    <w:rsid w:val="00224DFE"/>
    <w:rsid w:val="0023779B"/>
    <w:rsid w:val="00242E25"/>
    <w:rsid w:val="0024742D"/>
    <w:rsid w:val="00252AFF"/>
    <w:rsid w:val="00266245"/>
    <w:rsid w:val="00271C18"/>
    <w:rsid w:val="00274858"/>
    <w:rsid w:val="00290A0C"/>
    <w:rsid w:val="002972E7"/>
    <w:rsid w:val="002B1146"/>
    <w:rsid w:val="002B4275"/>
    <w:rsid w:val="002B452F"/>
    <w:rsid w:val="002D5660"/>
    <w:rsid w:val="002D684C"/>
    <w:rsid w:val="002E4374"/>
    <w:rsid w:val="002E4B9F"/>
    <w:rsid w:val="00302395"/>
    <w:rsid w:val="003116FD"/>
    <w:rsid w:val="00313857"/>
    <w:rsid w:val="00321136"/>
    <w:rsid w:val="0033352B"/>
    <w:rsid w:val="00347356"/>
    <w:rsid w:val="0036595A"/>
    <w:rsid w:val="003731C2"/>
    <w:rsid w:val="0037382B"/>
    <w:rsid w:val="00391070"/>
    <w:rsid w:val="003A457B"/>
    <w:rsid w:val="003A4C8B"/>
    <w:rsid w:val="003B7D43"/>
    <w:rsid w:val="003C04BD"/>
    <w:rsid w:val="003C0F08"/>
    <w:rsid w:val="003C782F"/>
    <w:rsid w:val="003D6FEA"/>
    <w:rsid w:val="003F4AE2"/>
    <w:rsid w:val="00406824"/>
    <w:rsid w:val="00445FEA"/>
    <w:rsid w:val="00453411"/>
    <w:rsid w:val="004540B6"/>
    <w:rsid w:val="0047311E"/>
    <w:rsid w:val="004825FC"/>
    <w:rsid w:val="00491F30"/>
    <w:rsid w:val="004952C5"/>
    <w:rsid w:val="004957E0"/>
    <w:rsid w:val="00497D89"/>
    <w:rsid w:val="004A247B"/>
    <w:rsid w:val="005064F4"/>
    <w:rsid w:val="005227C5"/>
    <w:rsid w:val="0052467E"/>
    <w:rsid w:val="00524E83"/>
    <w:rsid w:val="00544D63"/>
    <w:rsid w:val="00554696"/>
    <w:rsid w:val="005674D6"/>
    <w:rsid w:val="005805B1"/>
    <w:rsid w:val="00595807"/>
    <w:rsid w:val="005A012E"/>
    <w:rsid w:val="005A737E"/>
    <w:rsid w:val="005C50F7"/>
    <w:rsid w:val="005D1BEE"/>
    <w:rsid w:val="005D372C"/>
    <w:rsid w:val="005E3E15"/>
    <w:rsid w:val="005F7A80"/>
    <w:rsid w:val="00602711"/>
    <w:rsid w:val="00603034"/>
    <w:rsid w:val="006072C1"/>
    <w:rsid w:val="0061631C"/>
    <w:rsid w:val="00620875"/>
    <w:rsid w:val="006208E5"/>
    <w:rsid w:val="00620B4C"/>
    <w:rsid w:val="0062164B"/>
    <w:rsid w:val="006347F0"/>
    <w:rsid w:val="00635079"/>
    <w:rsid w:val="00651F86"/>
    <w:rsid w:val="006557A5"/>
    <w:rsid w:val="00661DE2"/>
    <w:rsid w:val="006845C4"/>
    <w:rsid w:val="00693A2B"/>
    <w:rsid w:val="006A5008"/>
    <w:rsid w:val="006B711C"/>
    <w:rsid w:val="006C2181"/>
    <w:rsid w:val="006C5462"/>
    <w:rsid w:val="006D138A"/>
    <w:rsid w:val="00704B84"/>
    <w:rsid w:val="00711AC2"/>
    <w:rsid w:val="00720AB9"/>
    <w:rsid w:val="00722869"/>
    <w:rsid w:val="00723C5B"/>
    <w:rsid w:val="0072573B"/>
    <w:rsid w:val="007265A8"/>
    <w:rsid w:val="00741F67"/>
    <w:rsid w:val="007469AA"/>
    <w:rsid w:val="007560D9"/>
    <w:rsid w:val="00760847"/>
    <w:rsid w:val="0077147D"/>
    <w:rsid w:val="007801D1"/>
    <w:rsid w:val="00796E2E"/>
    <w:rsid w:val="007C3241"/>
    <w:rsid w:val="007C49FC"/>
    <w:rsid w:val="007E1BB0"/>
    <w:rsid w:val="007E6362"/>
    <w:rsid w:val="007F3077"/>
    <w:rsid w:val="00810750"/>
    <w:rsid w:val="00811544"/>
    <w:rsid w:val="00823D15"/>
    <w:rsid w:val="00827AC0"/>
    <w:rsid w:val="00832EAF"/>
    <w:rsid w:val="0084086C"/>
    <w:rsid w:val="00840D04"/>
    <w:rsid w:val="008448B9"/>
    <w:rsid w:val="008468BA"/>
    <w:rsid w:val="00854055"/>
    <w:rsid w:val="00862465"/>
    <w:rsid w:val="00866294"/>
    <w:rsid w:val="00870F35"/>
    <w:rsid w:val="00887E03"/>
    <w:rsid w:val="00893B69"/>
    <w:rsid w:val="00897DAD"/>
    <w:rsid w:val="008B0362"/>
    <w:rsid w:val="008B58DD"/>
    <w:rsid w:val="008C637E"/>
    <w:rsid w:val="008D0EA8"/>
    <w:rsid w:val="008E4F5C"/>
    <w:rsid w:val="008E5A26"/>
    <w:rsid w:val="008F59AD"/>
    <w:rsid w:val="00900C72"/>
    <w:rsid w:val="00910C04"/>
    <w:rsid w:val="009121B6"/>
    <w:rsid w:val="009144C7"/>
    <w:rsid w:val="0092276F"/>
    <w:rsid w:val="00922B58"/>
    <w:rsid w:val="0093070D"/>
    <w:rsid w:val="00954071"/>
    <w:rsid w:val="00955A38"/>
    <w:rsid w:val="0099119D"/>
    <w:rsid w:val="00991290"/>
    <w:rsid w:val="00996D9D"/>
    <w:rsid w:val="009A345C"/>
    <w:rsid w:val="009A586D"/>
    <w:rsid w:val="009A6306"/>
    <w:rsid w:val="009B241B"/>
    <w:rsid w:val="009B55DB"/>
    <w:rsid w:val="009C2C7F"/>
    <w:rsid w:val="009C51AD"/>
    <w:rsid w:val="009D61F9"/>
    <w:rsid w:val="009E0450"/>
    <w:rsid w:val="009E0CAC"/>
    <w:rsid w:val="009E59D4"/>
    <w:rsid w:val="009F0F36"/>
    <w:rsid w:val="009F2050"/>
    <w:rsid w:val="009F4060"/>
    <w:rsid w:val="00A04A46"/>
    <w:rsid w:val="00A06B00"/>
    <w:rsid w:val="00A26EC1"/>
    <w:rsid w:val="00A574AE"/>
    <w:rsid w:val="00A70A5F"/>
    <w:rsid w:val="00A94832"/>
    <w:rsid w:val="00A94D6D"/>
    <w:rsid w:val="00AA162B"/>
    <w:rsid w:val="00AA2286"/>
    <w:rsid w:val="00AA6EE8"/>
    <w:rsid w:val="00AB743A"/>
    <w:rsid w:val="00AC37B7"/>
    <w:rsid w:val="00AD2F85"/>
    <w:rsid w:val="00AF10F8"/>
    <w:rsid w:val="00B253FA"/>
    <w:rsid w:val="00B3420A"/>
    <w:rsid w:val="00B44A7F"/>
    <w:rsid w:val="00B4628E"/>
    <w:rsid w:val="00B47376"/>
    <w:rsid w:val="00B52750"/>
    <w:rsid w:val="00B54FB9"/>
    <w:rsid w:val="00B6041C"/>
    <w:rsid w:val="00B6531F"/>
    <w:rsid w:val="00B66433"/>
    <w:rsid w:val="00B82B41"/>
    <w:rsid w:val="00B84CB8"/>
    <w:rsid w:val="00B87E56"/>
    <w:rsid w:val="00B900F4"/>
    <w:rsid w:val="00BA2A52"/>
    <w:rsid w:val="00BA67D5"/>
    <w:rsid w:val="00BA67DB"/>
    <w:rsid w:val="00BB3736"/>
    <w:rsid w:val="00BB738F"/>
    <w:rsid w:val="00BC04C0"/>
    <w:rsid w:val="00BC2608"/>
    <w:rsid w:val="00BC5F41"/>
    <w:rsid w:val="00BD6048"/>
    <w:rsid w:val="00BE5A89"/>
    <w:rsid w:val="00BF0D7A"/>
    <w:rsid w:val="00BF11CF"/>
    <w:rsid w:val="00C002FA"/>
    <w:rsid w:val="00C17FCF"/>
    <w:rsid w:val="00C2673D"/>
    <w:rsid w:val="00C26F0D"/>
    <w:rsid w:val="00C30B35"/>
    <w:rsid w:val="00C367D2"/>
    <w:rsid w:val="00C6100E"/>
    <w:rsid w:val="00C6727E"/>
    <w:rsid w:val="00C864D8"/>
    <w:rsid w:val="00C95BC5"/>
    <w:rsid w:val="00CB1E68"/>
    <w:rsid w:val="00CB54B0"/>
    <w:rsid w:val="00CB74BE"/>
    <w:rsid w:val="00CC1A89"/>
    <w:rsid w:val="00CD643D"/>
    <w:rsid w:val="00CE1FD4"/>
    <w:rsid w:val="00CE2A5F"/>
    <w:rsid w:val="00CE392D"/>
    <w:rsid w:val="00CF2648"/>
    <w:rsid w:val="00CF7883"/>
    <w:rsid w:val="00D2593D"/>
    <w:rsid w:val="00D31081"/>
    <w:rsid w:val="00D44E9A"/>
    <w:rsid w:val="00D62981"/>
    <w:rsid w:val="00D70C80"/>
    <w:rsid w:val="00DA4D42"/>
    <w:rsid w:val="00DA5025"/>
    <w:rsid w:val="00DB00BC"/>
    <w:rsid w:val="00DB0FA0"/>
    <w:rsid w:val="00DB5229"/>
    <w:rsid w:val="00DB7DF1"/>
    <w:rsid w:val="00DC5037"/>
    <w:rsid w:val="00DD68A8"/>
    <w:rsid w:val="00DF4C8E"/>
    <w:rsid w:val="00E02945"/>
    <w:rsid w:val="00E03A7E"/>
    <w:rsid w:val="00E055B6"/>
    <w:rsid w:val="00E174F3"/>
    <w:rsid w:val="00E342A6"/>
    <w:rsid w:val="00E45D41"/>
    <w:rsid w:val="00E47864"/>
    <w:rsid w:val="00E72F03"/>
    <w:rsid w:val="00E739E6"/>
    <w:rsid w:val="00E77094"/>
    <w:rsid w:val="00E94EAB"/>
    <w:rsid w:val="00EA7AED"/>
    <w:rsid w:val="00EC3E8F"/>
    <w:rsid w:val="00ED6BB5"/>
    <w:rsid w:val="00EE2E19"/>
    <w:rsid w:val="00F0383A"/>
    <w:rsid w:val="00F07E5F"/>
    <w:rsid w:val="00F11D93"/>
    <w:rsid w:val="00F12F96"/>
    <w:rsid w:val="00F152DF"/>
    <w:rsid w:val="00F31241"/>
    <w:rsid w:val="00F33BB2"/>
    <w:rsid w:val="00F35611"/>
    <w:rsid w:val="00F3778A"/>
    <w:rsid w:val="00F6266A"/>
    <w:rsid w:val="00F63419"/>
    <w:rsid w:val="00F72038"/>
    <w:rsid w:val="00F97815"/>
    <w:rsid w:val="00FA3CDF"/>
    <w:rsid w:val="00FA53F0"/>
    <w:rsid w:val="00FB7865"/>
    <w:rsid w:val="00FC7B5A"/>
    <w:rsid w:val="00FD2D1A"/>
    <w:rsid w:val="00FD6C06"/>
    <w:rsid w:val="00FD6ED1"/>
    <w:rsid w:val="00FE5191"/>
    <w:rsid w:val="00FF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3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11451E"/>
    <w:pPr>
      <w:spacing w:after="160" w:line="240" w:lineRule="exact"/>
    </w:pPr>
    <w:rPr>
      <w:rFonts w:ascii="Tahoma" w:hAnsi="Tahoma" w:cs="Tahoma"/>
      <w:sz w:val="20"/>
      <w:szCs w:val="20"/>
    </w:rPr>
  </w:style>
  <w:style w:type="paragraph" w:styleId="Footer">
    <w:name w:val="footer"/>
    <w:basedOn w:val="Normal"/>
    <w:rsid w:val="00C95BC5"/>
    <w:pPr>
      <w:tabs>
        <w:tab w:val="center" w:pos="4320"/>
        <w:tab w:val="right" w:pos="8640"/>
      </w:tabs>
    </w:pPr>
  </w:style>
  <w:style w:type="character" w:styleId="PageNumber">
    <w:name w:val="page number"/>
    <w:basedOn w:val="DefaultParagraphFont"/>
    <w:rsid w:val="00C95BC5"/>
  </w:style>
  <w:style w:type="paragraph" w:customStyle="1" w:styleId="CharCharCharCharCharChar">
    <w:name w:val="Char Char Char Char Char Char"/>
    <w:basedOn w:val="Normal"/>
    <w:semiHidden/>
    <w:rsid w:val="0003350E"/>
    <w:pPr>
      <w:spacing w:after="160" w:line="240" w:lineRule="exact"/>
    </w:pPr>
    <w:rPr>
      <w:rFonts w:ascii="Arial" w:hAnsi="Arial" w:cs="Arial"/>
      <w:sz w:val="22"/>
      <w:szCs w:val="22"/>
    </w:rPr>
  </w:style>
  <w:style w:type="paragraph" w:styleId="Header">
    <w:name w:val="header"/>
    <w:basedOn w:val="Normal"/>
    <w:rsid w:val="00266245"/>
    <w:pPr>
      <w:tabs>
        <w:tab w:val="center" w:pos="4320"/>
        <w:tab w:val="right" w:pos="8640"/>
      </w:tabs>
    </w:pPr>
  </w:style>
  <w:style w:type="paragraph" w:styleId="BodyTextIndent2">
    <w:name w:val="Body Text Indent 2"/>
    <w:basedOn w:val="Normal"/>
    <w:link w:val="BodyTextIndent2Char1"/>
    <w:rsid w:val="00C367D2"/>
    <w:pPr>
      <w:ind w:firstLine="720"/>
      <w:jc w:val="both"/>
    </w:pPr>
    <w:rPr>
      <w:rFonts w:ascii=".VnTime" w:hAnsi=".VnTime"/>
      <w:szCs w:val="20"/>
    </w:rPr>
  </w:style>
  <w:style w:type="character" w:customStyle="1" w:styleId="BodyTextIndent2Char">
    <w:name w:val="Body Text Indent 2 Char"/>
    <w:rsid w:val="00C367D2"/>
    <w:rPr>
      <w:sz w:val="28"/>
      <w:szCs w:val="28"/>
      <w:lang w:val="en-US" w:eastAsia="en-US"/>
    </w:rPr>
  </w:style>
  <w:style w:type="character" w:customStyle="1" w:styleId="BodyTextIndent2Char1">
    <w:name w:val="Body Text Indent 2 Char1"/>
    <w:link w:val="BodyTextIndent2"/>
    <w:rsid w:val="00C367D2"/>
    <w:rPr>
      <w:rFonts w:ascii=".VnTime" w:hAnsi=".VnTime"/>
      <w:sz w:val="28"/>
    </w:rPr>
  </w:style>
  <w:style w:type="character" w:customStyle="1" w:styleId="apple-converted-space">
    <w:name w:val="apple-converted-space"/>
    <w:basedOn w:val="DefaultParagraphFont"/>
    <w:rsid w:val="00991290"/>
  </w:style>
  <w:style w:type="character" w:styleId="Hyperlink">
    <w:name w:val="Hyperlink"/>
    <w:uiPriority w:val="99"/>
    <w:unhideWhenUsed/>
    <w:rsid w:val="00991290"/>
    <w:rPr>
      <w:color w:val="0000FF"/>
      <w:u w:val="single"/>
    </w:rPr>
  </w:style>
  <w:style w:type="paragraph" w:customStyle="1" w:styleId="Default">
    <w:name w:val="Default"/>
    <w:rsid w:val="005546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3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11451E"/>
    <w:pPr>
      <w:spacing w:after="160" w:line="240" w:lineRule="exact"/>
    </w:pPr>
    <w:rPr>
      <w:rFonts w:ascii="Tahoma" w:hAnsi="Tahoma" w:cs="Tahoma"/>
      <w:sz w:val="20"/>
      <w:szCs w:val="20"/>
    </w:rPr>
  </w:style>
  <w:style w:type="paragraph" w:styleId="Footer">
    <w:name w:val="footer"/>
    <w:basedOn w:val="Normal"/>
    <w:rsid w:val="00C95BC5"/>
    <w:pPr>
      <w:tabs>
        <w:tab w:val="center" w:pos="4320"/>
        <w:tab w:val="right" w:pos="8640"/>
      </w:tabs>
    </w:pPr>
  </w:style>
  <w:style w:type="character" w:styleId="PageNumber">
    <w:name w:val="page number"/>
    <w:basedOn w:val="DefaultParagraphFont"/>
    <w:rsid w:val="00C95BC5"/>
  </w:style>
  <w:style w:type="paragraph" w:customStyle="1" w:styleId="CharCharCharCharCharChar">
    <w:name w:val="Char Char Char Char Char Char"/>
    <w:basedOn w:val="Normal"/>
    <w:semiHidden/>
    <w:rsid w:val="0003350E"/>
    <w:pPr>
      <w:spacing w:after="160" w:line="240" w:lineRule="exact"/>
    </w:pPr>
    <w:rPr>
      <w:rFonts w:ascii="Arial" w:hAnsi="Arial" w:cs="Arial"/>
      <w:sz w:val="22"/>
      <w:szCs w:val="22"/>
    </w:rPr>
  </w:style>
  <w:style w:type="paragraph" w:styleId="Header">
    <w:name w:val="header"/>
    <w:basedOn w:val="Normal"/>
    <w:rsid w:val="00266245"/>
    <w:pPr>
      <w:tabs>
        <w:tab w:val="center" w:pos="4320"/>
        <w:tab w:val="right" w:pos="8640"/>
      </w:tabs>
    </w:pPr>
  </w:style>
  <w:style w:type="paragraph" w:styleId="BodyTextIndent2">
    <w:name w:val="Body Text Indent 2"/>
    <w:basedOn w:val="Normal"/>
    <w:link w:val="BodyTextIndent2Char1"/>
    <w:rsid w:val="00C367D2"/>
    <w:pPr>
      <w:ind w:firstLine="720"/>
      <w:jc w:val="both"/>
    </w:pPr>
    <w:rPr>
      <w:rFonts w:ascii=".VnTime" w:hAnsi=".VnTime"/>
      <w:szCs w:val="20"/>
    </w:rPr>
  </w:style>
  <w:style w:type="character" w:customStyle="1" w:styleId="BodyTextIndent2Char">
    <w:name w:val="Body Text Indent 2 Char"/>
    <w:rsid w:val="00C367D2"/>
    <w:rPr>
      <w:sz w:val="28"/>
      <w:szCs w:val="28"/>
      <w:lang w:val="en-US" w:eastAsia="en-US"/>
    </w:rPr>
  </w:style>
  <w:style w:type="character" w:customStyle="1" w:styleId="BodyTextIndent2Char1">
    <w:name w:val="Body Text Indent 2 Char1"/>
    <w:link w:val="BodyTextIndent2"/>
    <w:rsid w:val="00C367D2"/>
    <w:rPr>
      <w:rFonts w:ascii=".VnTime" w:hAnsi=".VnTime"/>
      <w:sz w:val="28"/>
    </w:rPr>
  </w:style>
  <w:style w:type="character" w:customStyle="1" w:styleId="apple-converted-space">
    <w:name w:val="apple-converted-space"/>
    <w:basedOn w:val="DefaultParagraphFont"/>
    <w:rsid w:val="00991290"/>
  </w:style>
  <w:style w:type="character" w:styleId="Hyperlink">
    <w:name w:val="Hyperlink"/>
    <w:uiPriority w:val="99"/>
    <w:unhideWhenUsed/>
    <w:rsid w:val="00991290"/>
    <w:rPr>
      <w:color w:val="0000FF"/>
      <w:u w:val="single"/>
    </w:rPr>
  </w:style>
  <w:style w:type="paragraph" w:customStyle="1" w:styleId="Default">
    <w:name w:val="Default"/>
    <w:rsid w:val="005546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3F99A-245D-4FDD-9365-EB90E790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Vinaghost.Com</dc:creator>
  <cp:lastModifiedBy>P.Van Xa</cp:lastModifiedBy>
  <cp:revision>8</cp:revision>
  <cp:lastPrinted>2014-07-30T10:34:00Z</cp:lastPrinted>
  <dcterms:created xsi:type="dcterms:W3CDTF">2019-11-26T09:54:00Z</dcterms:created>
  <dcterms:modified xsi:type="dcterms:W3CDTF">2019-11-27T10:18:00Z</dcterms:modified>
</cp:coreProperties>
</file>