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FB" w:rsidRPr="00A31CFC" w:rsidRDefault="001651FB" w:rsidP="001651FB">
      <w:pPr>
        <w:tabs>
          <w:tab w:val="left" w:pos="1980"/>
        </w:tabs>
        <w:spacing w:after="0" w:line="240" w:lineRule="auto"/>
        <w:jc w:val="center"/>
        <w:rPr>
          <w:rFonts w:ascii="Times New Roman" w:hAnsi="Times New Roman"/>
          <w:b/>
          <w:sz w:val="24"/>
          <w:szCs w:val="24"/>
        </w:rPr>
      </w:pPr>
      <w:r w:rsidRPr="00A31CFC">
        <w:rPr>
          <w:rFonts w:ascii="Times New Roman" w:hAnsi="Times New Roman"/>
          <w:i/>
          <w:sz w:val="24"/>
          <w:szCs w:val="24"/>
        </w:rPr>
        <w:t>(Kèm theo Tờ trình số</w:t>
      </w:r>
      <w:r w:rsidR="00C21EC7">
        <w:rPr>
          <w:rFonts w:ascii="Times New Roman" w:hAnsi="Times New Roman"/>
          <w:i/>
          <w:sz w:val="24"/>
          <w:szCs w:val="24"/>
        </w:rPr>
        <w:t xml:space="preserve">        /TTr-CP</w:t>
      </w:r>
      <w:r w:rsidRPr="00A31CFC">
        <w:rPr>
          <w:rFonts w:ascii="Times New Roman" w:hAnsi="Times New Roman"/>
          <w:i/>
          <w:sz w:val="24"/>
          <w:szCs w:val="24"/>
        </w:rPr>
        <w:t xml:space="preserve"> ngày     </w:t>
      </w:r>
      <w:r w:rsidR="00976245">
        <w:rPr>
          <w:rFonts w:ascii="Times New Roman" w:hAnsi="Times New Roman"/>
          <w:i/>
          <w:sz w:val="24"/>
          <w:szCs w:val="24"/>
        </w:rPr>
        <w:t>tháng 7</w:t>
      </w:r>
      <w:r w:rsidRPr="00A31CFC">
        <w:rPr>
          <w:rFonts w:ascii="Times New Roman" w:hAnsi="Times New Roman"/>
          <w:i/>
          <w:sz w:val="24"/>
          <w:szCs w:val="24"/>
        </w:rPr>
        <w:t xml:space="preserve"> năm 2021 của Bộ Kế hoạch và Đầu tư)</w:t>
      </w:r>
    </w:p>
    <w:p w:rsidR="006335E7" w:rsidRPr="00D63505" w:rsidRDefault="00721920" w:rsidP="005D2325">
      <w:pPr>
        <w:tabs>
          <w:tab w:val="left" w:pos="1980"/>
        </w:tabs>
        <w:spacing w:before="120" w:after="120" w:line="240" w:lineRule="auto"/>
        <w:jc w:val="both"/>
        <w:rPr>
          <w:rFonts w:ascii="Times New Roman" w:hAnsi="Times New Roman"/>
          <w:b/>
          <w:sz w:val="28"/>
          <w:szCs w:val="28"/>
        </w:rPr>
      </w:pPr>
      <w:r w:rsidRPr="00D63505">
        <w:rPr>
          <w:rFonts w:ascii="Times New Roman" w:hAnsi="Times New Roman"/>
          <w:b/>
          <w:sz w:val="28"/>
          <w:szCs w:val="28"/>
        </w:rPr>
        <w:t>PHỤ LỤ</w:t>
      </w:r>
      <w:r w:rsidR="00083A9B" w:rsidRPr="00D63505">
        <w:rPr>
          <w:rFonts w:ascii="Times New Roman" w:hAnsi="Times New Roman"/>
          <w:b/>
          <w:sz w:val="28"/>
          <w:szCs w:val="28"/>
        </w:rPr>
        <w:t>C</w:t>
      </w:r>
      <w:r w:rsidR="00D63505" w:rsidRPr="00D63505">
        <w:rPr>
          <w:rFonts w:ascii="Times New Roman" w:hAnsi="Times New Roman"/>
          <w:b/>
          <w:sz w:val="28"/>
          <w:szCs w:val="28"/>
        </w:rPr>
        <w:t>:</w:t>
      </w:r>
    </w:p>
    <w:p w:rsidR="00752240" w:rsidRDefault="00F16A8E" w:rsidP="000E05C2">
      <w:pPr>
        <w:tabs>
          <w:tab w:val="left" w:pos="1980"/>
        </w:tabs>
        <w:spacing w:before="120" w:after="120" w:line="240" w:lineRule="auto"/>
        <w:jc w:val="center"/>
        <w:rPr>
          <w:rFonts w:ascii="Times New Roman" w:hAnsi="Times New Roman"/>
          <w:b/>
          <w:sz w:val="28"/>
          <w:szCs w:val="28"/>
        </w:rPr>
      </w:pPr>
      <w:r>
        <w:rPr>
          <w:rFonts w:ascii="Times New Roman" w:hAnsi="Times New Roman"/>
          <w:b/>
          <w:sz w:val="28"/>
          <w:szCs w:val="28"/>
        </w:rPr>
        <w:t xml:space="preserve">DANH MỤC </w:t>
      </w:r>
      <w:r w:rsidR="00D63505" w:rsidRPr="00D63505">
        <w:rPr>
          <w:rFonts w:ascii="Times New Roman" w:hAnsi="Times New Roman"/>
          <w:b/>
          <w:sz w:val="28"/>
          <w:szCs w:val="28"/>
        </w:rPr>
        <w:t>CHỈ TIÊU THỐNG KÊ QUỐC GIA</w:t>
      </w:r>
      <w:r w:rsidR="007834EB">
        <w:rPr>
          <w:rFonts w:ascii="Times New Roman" w:hAnsi="Times New Roman"/>
          <w:b/>
          <w:sz w:val="28"/>
          <w:szCs w:val="28"/>
        </w:rPr>
        <w:t xml:space="preserve"> </w:t>
      </w:r>
    </w:p>
    <w:p w:rsidR="000E05C2" w:rsidRPr="00852360" w:rsidRDefault="000E05C2" w:rsidP="00300008">
      <w:pPr>
        <w:tabs>
          <w:tab w:val="left" w:pos="1980"/>
        </w:tabs>
        <w:spacing w:before="120" w:after="240" w:line="240" w:lineRule="auto"/>
        <w:ind w:firstLine="720"/>
        <w:jc w:val="center"/>
        <w:rPr>
          <w:rFonts w:ascii="Times New Roman" w:hAnsi="Times New Roman"/>
          <w:b/>
          <w:sz w:val="16"/>
          <w:szCs w:val="16"/>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49"/>
        <w:gridCol w:w="2595"/>
        <w:gridCol w:w="2410"/>
        <w:gridCol w:w="1984"/>
        <w:gridCol w:w="1026"/>
        <w:gridCol w:w="675"/>
        <w:gridCol w:w="737"/>
        <w:gridCol w:w="681"/>
        <w:gridCol w:w="3685"/>
      </w:tblGrid>
      <w:tr w:rsidR="00E714A8" w:rsidRPr="00852360" w:rsidTr="00AB0D6C">
        <w:trPr>
          <w:trHeight w:val="660"/>
          <w:tblHeader/>
          <w:jc w:val="center"/>
        </w:trPr>
        <w:tc>
          <w:tcPr>
            <w:tcW w:w="704" w:type="dxa"/>
            <w:vMerge w:val="restart"/>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Pr>
                <w:rFonts w:ascii="Times New Roman" w:eastAsia="Times New Roman" w:hAnsi="Times New Roman"/>
                <w:b/>
                <w:sz w:val="26"/>
                <w:szCs w:val="26"/>
              </w:rPr>
              <w:t>Stt</w:t>
            </w:r>
          </w:p>
        </w:tc>
        <w:tc>
          <w:tcPr>
            <w:tcW w:w="949" w:type="dxa"/>
            <w:vMerge w:val="restart"/>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E714A8">
              <w:rPr>
                <w:rFonts w:ascii="Times New Roman" w:eastAsia="Times New Roman" w:hAnsi="Times New Roman"/>
                <w:b/>
                <w:sz w:val="26"/>
                <w:szCs w:val="26"/>
              </w:rPr>
              <w:t>Mã số QG 2015</w:t>
            </w:r>
          </w:p>
        </w:tc>
        <w:tc>
          <w:tcPr>
            <w:tcW w:w="2595" w:type="dxa"/>
            <w:vMerge w:val="restart"/>
            <w:shd w:val="clear" w:color="auto" w:fill="auto"/>
            <w:vAlign w:val="center"/>
            <w:hideMark/>
          </w:tcPr>
          <w:p w:rsidR="00E714A8" w:rsidRPr="00852360" w:rsidRDefault="00FC12C1" w:rsidP="00FC12C1">
            <w:pPr>
              <w:spacing w:before="100" w:after="100" w:line="240" w:lineRule="auto"/>
              <w:jc w:val="center"/>
              <w:rPr>
                <w:rFonts w:ascii="Times New Roman" w:eastAsia="Times New Roman" w:hAnsi="Times New Roman"/>
                <w:b/>
                <w:sz w:val="26"/>
                <w:szCs w:val="26"/>
              </w:rPr>
            </w:pPr>
            <w:r>
              <w:rPr>
                <w:rFonts w:ascii="Times New Roman" w:eastAsia="Times New Roman" w:hAnsi="Times New Roman"/>
                <w:b/>
                <w:sz w:val="26"/>
                <w:szCs w:val="26"/>
              </w:rPr>
              <w:t>Nhóm, tên c</w:t>
            </w:r>
            <w:r w:rsidR="00E714A8" w:rsidRPr="00852360">
              <w:rPr>
                <w:rFonts w:ascii="Times New Roman" w:eastAsia="Times New Roman" w:hAnsi="Times New Roman"/>
                <w:b/>
                <w:sz w:val="26"/>
                <w:szCs w:val="26"/>
              </w:rPr>
              <w:t>hỉ tiêu</w:t>
            </w:r>
          </w:p>
        </w:tc>
        <w:tc>
          <w:tcPr>
            <w:tcW w:w="2410" w:type="dxa"/>
            <w:vMerge w:val="restart"/>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852360">
              <w:rPr>
                <w:rFonts w:ascii="Times New Roman" w:eastAsia="Times New Roman" w:hAnsi="Times New Roman"/>
                <w:b/>
                <w:sz w:val="26"/>
                <w:szCs w:val="26"/>
              </w:rPr>
              <w:t xml:space="preserve">Cơ quan thực </w:t>
            </w:r>
            <w:r w:rsidRPr="00CB6527">
              <w:rPr>
                <w:rFonts w:ascii="Times New Roman" w:eastAsia="Times New Roman" w:hAnsi="Times New Roman"/>
                <w:b/>
                <w:sz w:val="26"/>
                <w:szCs w:val="26"/>
              </w:rPr>
              <w:t>h</w:t>
            </w:r>
            <w:r w:rsidRPr="00852360">
              <w:rPr>
                <w:rFonts w:ascii="Times New Roman" w:eastAsia="Times New Roman" w:hAnsi="Times New Roman"/>
                <w:b/>
                <w:sz w:val="26"/>
                <w:szCs w:val="26"/>
              </w:rPr>
              <w:t>iện</w:t>
            </w:r>
          </w:p>
        </w:tc>
        <w:tc>
          <w:tcPr>
            <w:tcW w:w="1984" w:type="dxa"/>
            <w:vMerge w:val="restart"/>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852360">
              <w:rPr>
                <w:rFonts w:ascii="Times New Roman" w:eastAsia="Times New Roman" w:hAnsi="Times New Roman"/>
                <w:b/>
                <w:sz w:val="26"/>
                <w:szCs w:val="26"/>
              </w:rPr>
              <w:t xml:space="preserve">Cơ quan </w:t>
            </w:r>
            <w:r w:rsidRPr="00852360">
              <w:rPr>
                <w:rFonts w:ascii="Times New Roman" w:eastAsia="Times New Roman" w:hAnsi="Times New Roman"/>
                <w:b/>
                <w:sz w:val="26"/>
                <w:szCs w:val="26"/>
              </w:rPr>
              <w:br/>
              <w:t>đề xuất sửa đổi, bổ sung</w:t>
            </w:r>
          </w:p>
        </w:tc>
        <w:tc>
          <w:tcPr>
            <w:tcW w:w="3119" w:type="dxa"/>
            <w:gridSpan w:val="4"/>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852360">
              <w:rPr>
                <w:rFonts w:ascii="Times New Roman" w:eastAsia="Times New Roman" w:hAnsi="Times New Roman"/>
                <w:b/>
                <w:sz w:val="26"/>
                <w:szCs w:val="26"/>
              </w:rPr>
              <w:t>Sửa đổi, bổ sung, bỏ chỉ tiêu/nhóm chỉ tiêu</w:t>
            </w:r>
          </w:p>
        </w:tc>
        <w:tc>
          <w:tcPr>
            <w:tcW w:w="3685" w:type="dxa"/>
            <w:vMerge w:val="restart"/>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852360">
              <w:rPr>
                <w:rFonts w:ascii="Times New Roman" w:eastAsia="Times New Roman" w:hAnsi="Times New Roman"/>
                <w:b/>
                <w:sz w:val="26"/>
                <w:szCs w:val="26"/>
              </w:rPr>
              <w:t>Lý do đề xuất</w:t>
            </w:r>
          </w:p>
        </w:tc>
      </w:tr>
      <w:tr w:rsidR="00E714A8" w:rsidRPr="00852360" w:rsidTr="00AB0D6C">
        <w:trPr>
          <w:trHeight w:val="690"/>
          <w:tblHeader/>
          <w:jc w:val="center"/>
        </w:trPr>
        <w:tc>
          <w:tcPr>
            <w:tcW w:w="704" w:type="dxa"/>
            <w:vMerge/>
            <w:vAlign w:val="center"/>
            <w:hideMark/>
          </w:tcPr>
          <w:p w:rsidR="00E714A8" w:rsidRPr="00852360" w:rsidRDefault="00E714A8" w:rsidP="00CB6527">
            <w:pPr>
              <w:spacing w:before="100" w:after="100" w:line="240" w:lineRule="auto"/>
              <w:rPr>
                <w:rFonts w:ascii="Times New Roman" w:eastAsia="Times New Roman" w:hAnsi="Times New Roman"/>
                <w:b/>
                <w:sz w:val="26"/>
                <w:szCs w:val="26"/>
              </w:rPr>
            </w:pPr>
          </w:p>
        </w:tc>
        <w:tc>
          <w:tcPr>
            <w:tcW w:w="949" w:type="dxa"/>
            <w:vMerge/>
          </w:tcPr>
          <w:p w:rsidR="00E714A8" w:rsidRPr="00852360" w:rsidRDefault="00E714A8" w:rsidP="00CB6527">
            <w:pPr>
              <w:spacing w:before="100" w:after="100" w:line="240" w:lineRule="auto"/>
              <w:rPr>
                <w:rFonts w:ascii="Times New Roman" w:eastAsia="Times New Roman" w:hAnsi="Times New Roman"/>
                <w:b/>
                <w:sz w:val="26"/>
                <w:szCs w:val="26"/>
              </w:rPr>
            </w:pPr>
          </w:p>
        </w:tc>
        <w:tc>
          <w:tcPr>
            <w:tcW w:w="2595" w:type="dxa"/>
            <w:vMerge/>
            <w:vAlign w:val="center"/>
            <w:hideMark/>
          </w:tcPr>
          <w:p w:rsidR="00E714A8" w:rsidRPr="00852360" w:rsidRDefault="00E714A8" w:rsidP="00CB6527">
            <w:pPr>
              <w:spacing w:before="100" w:after="100" w:line="240" w:lineRule="auto"/>
              <w:rPr>
                <w:rFonts w:ascii="Times New Roman" w:eastAsia="Times New Roman" w:hAnsi="Times New Roman"/>
                <w:b/>
                <w:sz w:val="26"/>
                <w:szCs w:val="26"/>
              </w:rPr>
            </w:pPr>
          </w:p>
        </w:tc>
        <w:tc>
          <w:tcPr>
            <w:tcW w:w="2410" w:type="dxa"/>
            <w:vMerge/>
            <w:vAlign w:val="center"/>
            <w:hideMark/>
          </w:tcPr>
          <w:p w:rsidR="00E714A8" w:rsidRPr="00852360" w:rsidRDefault="00E714A8" w:rsidP="00CB6527">
            <w:pPr>
              <w:spacing w:before="100" w:after="100" w:line="240" w:lineRule="auto"/>
              <w:rPr>
                <w:rFonts w:ascii="Times New Roman" w:eastAsia="Times New Roman" w:hAnsi="Times New Roman"/>
                <w:b/>
                <w:sz w:val="26"/>
                <w:szCs w:val="26"/>
              </w:rPr>
            </w:pPr>
          </w:p>
        </w:tc>
        <w:tc>
          <w:tcPr>
            <w:tcW w:w="1984" w:type="dxa"/>
            <w:vMerge/>
            <w:vAlign w:val="center"/>
            <w:hideMark/>
          </w:tcPr>
          <w:p w:rsidR="00E714A8" w:rsidRPr="00852360" w:rsidRDefault="00E714A8" w:rsidP="00CB6527">
            <w:pPr>
              <w:spacing w:before="100" w:after="100" w:line="240" w:lineRule="auto"/>
              <w:rPr>
                <w:rFonts w:ascii="Times New Roman" w:eastAsia="Times New Roman" w:hAnsi="Times New Roman"/>
                <w:b/>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852360">
              <w:rPr>
                <w:rFonts w:ascii="Times New Roman" w:eastAsia="Times New Roman" w:hAnsi="Times New Roman"/>
                <w:b/>
                <w:sz w:val="26"/>
                <w:szCs w:val="26"/>
              </w:rPr>
              <w:t>Giữ nguyên</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852360">
              <w:rPr>
                <w:rFonts w:ascii="Times New Roman" w:eastAsia="Times New Roman" w:hAnsi="Times New Roman"/>
                <w:b/>
                <w:sz w:val="26"/>
                <w:szCs w:val="26"/>
              </w:rPr>
              <w:t>Sửa tên</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852360">
              <w:rPr>
                <w:rFonts w:ascii="Times New Roman" w:eastAsia="Times New Roman" w:hAnsi="Times New Roman"/>
                <w:b/>
                <w:sz w:val="26"/>
                <w:szCs w:val="26"/>
              </w:rPr>
              <w:t>Bổ sung</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852360">
              <w:rPr>
                <w:rFonts w:ascii="Times New Roman" w:eastAsia="Times New Roman" w:hAnsi="Times New Roman"/>
                <w:b/>
                <w:sz w:val="26"/>
                <w:szCs w:val="26"/>
              </w:rPr>
              <w:t>Bỏ</w:t>
            </w:r>
          </w:p>
        </w:tc>
        <w:tc>
          <w:tcPr>
            <w:tcW w:w="3685" w:type="dxa"/>
            <w:vMerge/>
            <w:vAlign w:val="center"/>
            <w:hideMark/>
          </w:tcPr>
          <w:p w:rsidR="00E714A8" w:rsidRPr="00852360" w:rsidRDefault="00E714A8" w:rsidP="00CB6527">
            <w:pPr>
              <w:spacing w:before="100" w:after="100" w:line="240" w:lineRule="auto"/>
              <w:rPr>
                <w:rFonts w:ascii="Times New Roman" w:eastAsia="Times New Roman" w:hAnsi="Times New Roman"/>
                <w:b/>
                <w:sz w:val="26"/>
                <w:szCs w:val="26"/>
              </w:rPr>
            </w:pPr>
          </w:p>
        </w:tc>
      </w:tr>
      <w:tr w:rsidR="00E714A8" w:rsidRPr="00852360" w:rsidTr="00AB0D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852360">
              <w:rPr>
                <w:rFonts w:ascii="Times New Roman" w:eastAsia="Times New Roman" w:hAnsi="Times New Roman"/>
                <w:b/>
                <w:sz w:val="26"/>
                <w:szCs w:val="26"/>
              </w:rPr>
              <w:t> </w:t>
            </w:r>
          </w:p>
        </w:tc>
        <w:tc>
          <w:tcPr>
            <w:tcW w:w="949" w:type="dxa"/>
          </w:tcPr>
          <w:p w:rsidR="00E714A8" w:rsidRPr="00CB6527" w:rsidRDefault="00E714A8" w:rsidP="00CB6527">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CB6527">
              <w:rPr>
                <w:rFonts w:ascii="Times New Roman" w:eastAsia="Times New Roman" w:hAnsi="Times New Roman"/>
                <w:b/>
                <w:sz w:val="26"/>
                <w:szCs w:val="26"/>
              </w:rPr>
              <w:t xml:space="preserve">Tổng số: </w:t>
            </w:r>
            <w:r>
              <w:rPr>
                <w:rFonts w:ascii="Times New Roman" w:eastAsia="Times New Roman" w:hAnsi="Times New Roman"/>
                <w:b/>
                <w:sz w:val="26"/>
                <w:szCs w:val="26"/>
              </w:rPr>
              <w:t>215</w:t>
            </w:r>
          </w:p>
        </w:tc>
        <w:tc>
          <w:tcPr>
            <w:tcW w:w="2410" w:type="dxa"/>
            <w:shd w:val="clear" w:color="auto" w:fill="auto"/>
            <w:vAlign w:val="center"/>
            <w:hideMark/>
          </w:tcPr>
          <w:p w:rsidR="00E714A8" w:rsidRPr="00852360" w:rsidRDefault="00E714A8" w:rsidP="00CB6527">
            <w:pPr>
              <w:spacing w:before="100" w:after="100" w:line="240" w:lineRule="auto"/>
              <w:rPr>
                <w:rFonts w:ascii="Times New Roman" w:eastAsia="Times New Roman" w:hAnsi="Times New Roman"/>
                <w:b/>
                <w:sz w:val="26"/>
                <w:szCs w:val="26"/>
              </w:rPr>
            </w:pPr>
            <w:r w:rsidRPr="00852360">
              <w:rPr>
                <w:rFonts w:ascii="Times New Roman" w:eastAsia="Times New Roman" w:hAnsi="Times New Roman"/>
                <w:b/>
                <w:sz w:val="26"/>
                <w:szCs w:val="26"/>
              </w:rPr>
              <w:t> </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Pr>
                <w:rFonts w:ascii="Times New Roman" w:eastAsia="Times New Roman" w:hAnsi="Times New Roman"/>
                <w:b/>
                <w:sz w:val="26"/>
                <w:szCs w:val="26"/>
              </w:rPr>
              <w:t>134</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Pr>
                <w:rFonts w:ascii="Times New Roman" w:eastAsia="Times New Roman" w:hAnsi="Times New Roman"/>
                <w:b/>
                <w:sz w:val="26"/>
                <w:szCs w:val="26"/>
              </w:rPr>
              <w:t>41</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Pr>
                <w:rFonts w:ascii="Times New Roman" w:eastAsia="Times New Roman" w:hAnsi="Times New Roman"/>
                <w:b/>
                <w:sz w:val="26"/>
                <w:szCs w:val="26"/>
              </w:rPr>
              <w:t>40</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r w:rsidRPr="00852360">
              <w:rPr>
                <w:rFonts w:ascii="Times New Roman" w:eastAsia="Times New Roman" w:hAnsi="Times New Roman"/>
                <w:b/>
                <w:sz w:val="26"/>
                <w:szCs w:val="26"/>
              </w:rPr>
              <w:t>11</w:t>
            </w: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w:t>
            </w:r>
          </w:p>
        </w:tc>
      </w:tr>
      <w:tr w:rsidR="00E714A8" w:rsidRPr="00852360" w:rsidTr="00AB0D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p>
        </w:tc>
        <w:tc>
          <w:tcPr>
            <w:tcW w:w="949" w:type="dxa"/>
          </w:tcPr>
          <w:p w:rsidR="00E714A8" w:rsidRPr="00852360" w:rsidRDefault="00E714A8" w:rsidP="00CB6527">
            <w:pPr>
              <w:spacing w:before="100" w:after="100" w:line="240" w:lineRule="auto"/>
              <w:jc w:val="both"/>
              <w:rPr>
                <w:rFonts w:ascii="Times New Roman" w:eastAsia="Times New Roman" w:hAnsi="Times New Roman"/>
                <w:b/>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01. Đất đai, dân số</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0101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Diện tích và cơ cấu đất</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nguyên và Môi trường</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2</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0102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Dân số, mật độ dân số</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3</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0103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số giới tính khi sinh</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CB6527">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CB6527">
              <w:rPr>
                <w:rFonts w:ascii="Times New Roman" w:eastAsia="Times New Roman" w:hAnsi="Times New Roman"/>
                <w:bCs w:val="0"/>
                <w:sz w:val="26"/>
                <w:szCs w:val="26"/>
              </w:rPr>
              <w:t>- Phối hợp: Bộ Y tế</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4</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0104</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suất sinh thô</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5</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0105</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tỷ suất sinh</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6</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0106</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suất chết thô</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7</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0107</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tăng dân số</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8</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0108</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suất nhập cư, xuất cư, tỷ suất di cư thuần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9</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0109</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Tuổi thọ trung bình tính từ lúc sinh</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10</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0110</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người khuyết tật</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11</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0111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cuộc kết hôn và tuổi kết hôn trung bình lần đầu</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pacing w:val="-6"/>
                <w:sz w:val="26"/>
                <w:szCs w:val="26"/>
              </w:rPr>
              <w:t>- Phối hợp: Bộ Tư pháp</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12</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0112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trẻ em dưới 05 tuổi đã được đăng ký khai sinh</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Phối hợp: Bộ Tư pháp, Bộ Y tế</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13</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0113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trường hợp tử vong được đăng ký khai tử</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Chủ trì: Bộ Tư pháp</w:t>
            </w:r>
            <w:r w:rsidRPr="00852360">
              <w:rPr>
                <w:rFonts w:ascii="Times New Roman" w:eastAsia="Times New Roman" w:hAnsi="Times New Roman"/>
                <w:bCs w:val="0"/>
                <w:sz w:val="26"/>
                <w:szCs w:val="26"/>
              </w:rPr>
              <w:br/>
              <w:t>- Phối hợp: Tòa án nhân d</w:t>
            </w:r>
            <w:r>
              <w:rPr>
                <w:rFonts w:ascii="Times New Roman" w:eastAsia="Times New Roman" w:hAnsi="Times New Roman"/>
                <w:bCs w:val="0"/>
                <w:sz w:val="26"/>
                <w:szCs w:val="26"/>
              </w:rPr>
              <w:t>ân tối cao, Bộ Công an, Bộ Y tế</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8F2E47">
        <w:trPr>
          <w:trHeight w:val="1641"/>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14</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đô thị hóa</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Xây dựng</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Xây dựng</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A066B0">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Nghị quyết đại hội đại biểu toàn quốc lần thứ XIII, định hướng các chỉ tiêu chủ yếu phát triển kinh tế - xã hội 5 năm 2021-2025 quy định tỷ lệ đô thị hóa khoảng 45%</w:t>
            </w:r>
          </w:p>
        </w:tc>
      </w:tr>
      <w:tr w:rsidR="00E714A8" w:rsidRPr="00852360" w:rsidTr="008F2E47">
        <w:trPr>
          <w:trHeight w:val="786"/>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02. Lao động, việc làm và bình đẳng giới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15</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0201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Lực lượng lao động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16</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0202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lao động có việc làm trong nền kinh tế</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A066B0">
        <w:trPr>
          <w:trHeight w:val="966"/>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17</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0203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lao động đã qua đào tạo</w:t>
            </w:r>
          </w:p>
        </w:tc>
        <w:tc>
          <w:tcPr>
            <w:tcW w:w="2410" w:type="dxa"/>
            <w:shd w:val="clear" w:color="auto" w:fill="auto"/>
            <w:vAlign w:val="center"/>
            <w:hideMark/>
          </w:tcPr>
          <w:p w:rsidR="009D52DC" w:rsidRPr="009D52DC" w:rsidRDefault="009D52DC" w:rsidP="00CB6527">
            <w:pPr>
              <w:spacing w:before="100" w:after="100" w:line="240" w:lineRule="auto"/>
              <w:jc w:val="both"/>
              <w:rPr>
                <w:rFonts w:ascii="Times New Roman" w:eastAsia="Times New Roman" w:hAnsi="Times New Roman"/>
                <w:bCs w:val="0"/>
                <w:strike/>
                <w:spacing w:val="-4"/>
                <w:sz w:val="26"/>
                <w:szCs w:val="26"/>
              </w:rPr>
            </w:pPr>
            <w:r w:rsidRPr="009D52DC">
              <w:rPr>
                <w:rFonts w:ascii="Times New Roman" w:eastAsia="Times New Roman" w:hAnsi="Times New Roman"/>
                <w:bCs w:val="0"/>
                <w:strike/>
                <w:sz w:val="26"/>
                <w:szCs w:val="26"/>
              </w:rPr>
              <w:t>Tổng cục Thống kê</w:t>
            </w:r>
          </w:p>
          <w:p w:rsidR="00E714A8" w:rsidRPr="00A066B0" w:rsidRDefault="00536D55" w:rsidP="00CB6527">
            <w:pPr>
              <w:spacing w:before="100" w:after="100" w:line="240" w:lineRule="auto"/>
              <w:jc w:val="both"/>
              <w:rPr>
                <w:rFonts w:ascii="Times New Roman" w:eastAsia="Times New Roman" w:hAnsi="Times New Roman"/>
                <w:bCs w:val="0"/>
                <w:spacing w:val="-4"/>
                <w:sz w:val="26"/>
                <w:szCs w:val="26"/>
              </w:rPr>
            </w:pPr>
            <w:r>
              <w:rPr>
                <w:rFonts w:ascii="Times New Roman" w:eastAsia="Times New Roman" w:hAnsi="Times New Roman"/>
                <w:bCs w:val="0"/>
                <w:spacing w:val="-4"/>
                <w:sz w:val="26"/>
                <w:szCs w:val="26"/>
              </w:rPr>
              <w:t>Bộ Lao động-</w:t>
            </w:r>
            <w:r w:rsidR="00E714A8" w:rsidRPr="00A066B0">
              <w:rPr>
                <w:rFonts w:ascii="Times New Roman" w:eastAsia="Times New Roman" w:hAnsi="Times New Roman"/>
                <w:bCs w:val="0"/>
                <w:spacing w:val="-4"/>
                <w:sz w:val="26"/>
                <w:szCs w:val="26"/>
              </w:rPr>
              <w:t>Thương binh và Xã hội</w:t>
            </w:r>
          </w:p>
        </w:tc>
        <w:tc>
          <w:tcPr>
            <w:tcW w:w="1984" w:type="dxa"/>
            <w:shd w:val="clear" w:color="auto" w:fill="auto"/>
            <w:vAlign w:val="center"/>
            <w:hideMark/>
          </w:tcPr>
          <w:p w:rsidR="00E714A8" w:rsidRPr="00852360" w:rsidRDefault="00E714A8" w:rsidP="002244D4">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w:t>
            </w:r>
            <w:r>
              <w:rPr>
                <w:rFonts w:ascii="Times New Roman" w:eastAsia="Times New Roman" w:hAnsi="Times New Roman"/>
                <w:bCs w:val="0"/>
                <w:sz w:val="26"/>
                <w:szCs w:val="26"/>
              </w:rPr>
              <w:t xml:space="preserve"> </w:t>
            </w:r>
            <w:r w:rsidR="002244D4">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54198" w:rsidP="00536D55">
            <w:pPr>
              <w:spacing w:before="100" w:after="100" w:line="240" w:lineRule="auto"/>
              <w:jc w:val="both"/>
              <w:rPr>
                <w:rFonts w:ascii="Times New Roman" w:eastAsia="Times New Roman" w:hAnsi="Times New Roman"/>
                <w:bCs w:val="0"/>
                <w:sz w:val="26"/>
                <w:szCs w:val="26"/>
              </w:rPr>
            </w:pPr>
            <w:r w:rsidRPr="00E54198">
              <w:rPr>
                <w:rFonts w:ascii="Times New Roman" w:eastAsia="Times New Roman" w:hAnsi="Times New Roman"/>
                <w:bCs w:val="0"/>
                <w:sz w:val="26"/>
                <w:szCs w:val="26"/>
              </w:rPr>
              <w:t>Phù hợp với chức năng quản lý nhà nước của Bộ Lao động</w:t>
            </w:r>
            <w:r w:rsidR="00536D55">
              <w:rPr>
                <w:rFonts w:ascii="Times New Roman" w:eastAsia="Times New Roman" w:hAnsi="Times New Roman"/>
                <w:bCs w:val="0"/>
                <w:sz w:val="26"/>
                <w:szCs w:val="26"/>
              </w:rPr>
              <w:t>-</w:t>
            </w:r>
            <w:r w:rsidRPr="00E54198">
              <w:rPr>
                <w:rFonts w:ascii="Times New Roman" w:eastAsia="Times New Roman" w:hAnsi="Times New Roman"/>
                <w:bCs w:val="0"/>
                <w:sz w:val="26"/>
                <w:szCs w:val="26"/>
              </w:rPr>
              <w:t>Thương binh và Xã hội</w:t>
            </w: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18</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lao động đã qua đào tạo có bằng cấp, chứng chỉ</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9D52DC" w:rsidP="009D52DC">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w:t>
            </w:r>
            <w:r>
              <w:rPr>
                <w:rFonts w:ascii="Times New Roman" w:eastAsia="Times New Roman" w:hAnsi="Times New Roman"/>
                <w:bCs w:val="0"/>
                <w:sz w:val="26"/>
                <w:szCs w:val="26"/>
              </w:rPr>
              <w:t xml:space="preserve">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Chiến lược phát triển kinh tế - xã hội 2021-2030</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Bảo đảm so sánh quốc tế</w:t>
            </w: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19</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0204</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thất nghiệp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20</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0205</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thiếu việc làm</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52F1C">
        <w:trPr>
          <w:trHeight w:val="23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21</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lao động có việc làm phi chính thức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2244D4"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w:t>
            </w:r>
            <w:r>
              <w:rPr>
                <w:rFonts w:ascii="Times New Roman" w:eastAsia="Times New Roman" w:hAnsi="Times New Roman"/>
                <w:bCs w:val="0"/>
                <w:sz w:val="26"/>
                <w:szCs w:val="26"/>
              </w:rPr>
              <w:t xml:space="preserve">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B97285">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Cùng với 2 chỉ tiêu "tỷ lệ thất nghiệp", "tỷ lệ thiếu việc làm" để phản ánh đầy đủ hơn chất lượng lực lượng lao động của Việt Nam</w:t>
            </w:r>
            <w:r w:rsidRPr="00852360">
              <w:rPr>
                <w:rFonts w:ascii="Times New Roman" w:eastAsia="Times New Roman" w:hAnsi="Times New Roman"/>
                <w:bCs w:val="0"/>
                <w:sz w:val="26"/>
                <w:szCs w:val="26"/>
              </w:rPr>
              <w:br/>
              <w:t xml:space="preserve">- </w:t>
            </w:r>
            <w:r w:rsidR="00B97285">
              <w:rPr>
                <w:rFonts w:ascii="Times New Roman" w:eastAsia="Times New Roman" w:hAnsi="Times New Roman"/>
                <w:bCs w:val="0"/>
                <w:sz w:val="26"/>
                <w:szCs w:val="26"/>
              </w:rPr>
              <w:t>Nghị quyết số 136/NQ-CP  ngày 25/9/2020 của Chính phủ về phát triển bền vững</w:t>
            </w: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22</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0206</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Năng suất lao động xã hội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23</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0207</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Thu nhập bình quân một lao động đang làm việc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24</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0208</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nữ tham gia cấp ủy đảng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Ban Tổ chức Trung ương Đảng</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25</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0209</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nữ đại biểu Quốc hội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Văn phòng Quốc hội</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2244D4">
        <w:trPr>
          <w:trHeight w:val="1074"/>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26</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0210</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nữ đại biểu Hội đồng nhân dân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Nội vụ</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98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27</w:t>
            </w: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0211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Tỷ lệ nữ đảm nhiệm chức vụ lãnh đạo chính quyền</w:t>
            </w:r>
            <w:r w:rsidRPr="00852360">
              <w:rPr>
                <w:rFonts w:ascii="Times New Roman" w:eastAsia="Times New Roman" w:hAnsi="Times New Roman"/>
                <w:bCs w:val="0"/>
                <w:sz w:val="26"/>
                <w:szCs w:val="26"/>
              </w:rPr>
              <w:br/>
              <w:t>Tỷ lệ cơ quan quản lý nhà nước, chính quyền địa phương các cấp có lãnh đạo chủ chốt là nữ</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Bộ Nội vụ, Văn phòng Quốc hội, Tòa </w:t>
            </w:r>
            <w:proofErr w:type="gramStart"/>
            <w:r w:rsidRPr="00852360">
              <w:rPr>
                <w:rFonts w:ascii="Times New Roman" w:eastAsia="Times New Roman" w:hAnsi="Times New Roman"/>
                <w:bCs w:val="0"/>
                <w:sz w:val="26"/>
                <w:szCs w:val="26"/>
              </w:rPr>
              <w:t>án</w:t>
            </w:r>
            <w:proofErr w:type="gramEnd"/>
            <w:r w:rsidRPr="00852360">
              <w:rPr>
                <w:rFonts w:ascii="Times New Roman" w:eastAsia="Times New Roman" w:hAnsi="Times New Roman"/>
                <w:bCs w:val="0"/>
                <w:sz w:val="26"/>
                <w:szCs w:val="26"/>
              </w:rPr>
              <w:t xml:space="preserve"> nhân dân tối cao, Viện kiểm sát nhân dân tối cao.</w:t>
            </w:r>
          </w:p>
        </w:tc>
        <w:tc>
          <w:tcPr>
            <w:tcW w:w="1984" w:type="dxa"/>
            <w:shd w:val="clear" w:color="auto" w:fill="auto"/>
            <w:vAlign w:val="center"/>
            <w:hideMark/>
          </w:tcPr>
          <w:p w:rsidR="00E714A8" w:rsidRPr="00852360" w:rsidRDefault="00F3496F"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w:t>
            </w:r>
            <w:r>
              <w:rPr>
                <w:rFonts w:ascii="Times New Roman" w:eastAsia="Times New Roman" w:hAnsi="Times New Roman"/>
                <w:bCs w:val="0"/>
                <w:sz w:val="26"/>
                <w:szCs w:val="26"/>
              </w:rPr>
              <w:t xml:space="preserve">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652F1C"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xml:space="preserve">Nghị quyết số 28/NQ-CP ngày 03/3/2021 của Chính phủ ban hành </w:t>
            </w:r>
            <w:r w:rsidR="00E714A8" w:rsidRPr="00852360">
              <w:rPr>
                <w:rFonts w:ascii="Times New Roman" w:eastAsia="Times New Roman" w:hAnsi="Times New Roman"/>
                <w:bCs w:val="0"/>
                <w:sz w:val="26"/>
                <w:szCs w:val="26"/>
              </w:rPr>
              <w:t>Chiến lược quốc gia về bình đẳng giới giai đoạn 2021-2030 của Chính phủ</w:t>
            </w: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03. Doanh nghiệp, cơ sở kinh tế, hành chính, sự nghiệp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F3496F" w:rsidRPr="00852360" w:rsidTr="00611F6C">
        <w:trPr>
          <w:trHeight w:val="660"/>
          <w:jc w:val="center"/>
        </w:trPr>
        <w:tc>
          <w:tcPr>
            <w:tcW w:w="704" w:type="dxa"/>
            <w:shd w:val="clear" w:color="auto" w:fill="auto"/>
            <w:noWrap/>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28</w:t>
            </w:r>
          </w:p>
        </w:tc>
        <w:tc>
          <w:tcPr>
            <w:tcW w:w="949" w:type="dxa"/>
            <w:vAlign w:val="center"/>
          </w:tcPr>
          <w:p w:rsidR="00F3496F" w:rsidRPr="00B46BF3" w:rsidRDefault="00F3496F" w:rsidP="00F3496F">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0301</w:t>
            </w:r>
          </w:p>
        </w:tc>
        <w:tc>
          <w:tcPr>
            <w:tcW w:w="2595" w:type="dxa"/>
            <w:shd w:val="clear" w:color="auto" w:fill="auto"/>
            <w:vAlign w:val="center"/>
            <w:hideMark/>
          </w:tcPr>
          <w:p w:rsidR="00CD0B87" w:rsidRDefault="00F3496F" w:rsidP="00F3496F">
            <w:pPr>
              <w:spacing w:before="100" w:after="100" w:line="240" w:lineRule="auto"/>
              <w:jc w:val="both"/>
              <w:rPr>
                <w:rFonts w:ascii="Times New Roman" w:eastAsia="Times New Roman" w:hAnsi="Times New Roman"/>
                <w:bCs w:val="0"/>
                <w:strike/>
                <w:sz w:val="26"/>
                <w:szCs w:val="26"/>
              </w:rPr>
            </w:pPr>
            <w:r w:rsidRPr="002C15B0">
              <w:rPr>
                <w:rFonts w:ascii="Times New Roman" w:eastAsia="Times New Roman" w:hAnsi="Times New Roman"/>
                <w:bCs w:val="0"/>
                <w:strike/>
                <w:sz w:val="26"/>
                <w:szCs w:val="26"/>
              </w:rPr>
              <w:t>Số cơ sở, lao động trong các cơ sở kinh tế, sự nghiệp</w:t>
            </w:r>
          </w:p>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Số cơ sở, </w:t>
            </w:r>
            <w:r w:rsidR="00B6360A">
              <w:rPr>
                <w:rFonts w:ascii="Times New Roman" w:eastAsia="Times New Roman" w:hAnsi="Times New Roman"/>
                <w:bCs w:val="0"/>
                <w:sz w:val="26"/>
                <w:szCs w:val="26"/>
              </w:rPr>
              <w:t xml:space="preserve">số </w:t>
            </w:r>
            <w:r w:rsidRPr="00852360">
              <w:rPr>
                <w:rFonts w:ascii="Times New Roman" w:eastAsia="Times New Roman" w:hAnsi="Times New Roman"/>
                <w:bCs w:val="0"/>
                <w:sz w:val="26"/>
                <w:szCs w:val="26"/>
              </w:rPr>
              <w:t>lao động trong các cơ sở kinh tế</w:t>
            </w:r>
          </w:p>
        </w:tc>
        <w:tc>
          <w:tcPr>
            <w:tcW w:w="2410"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w:t>
            </w:r>
            <w:r>
              <w:rPr>
                <w:rFonts w:ascii="Times New Roman" w:eastAsia="Times New Roman" w:hAnsi="Times New Roman"/>
                <w:bCs w:val="0"/>
                <w:sz w:val="26"/>
                <w:szCs w:val="26"/>
              </w:rPr>
              <w:t xml:space="preserve">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tình hình thực tế</w:t>
            </w:r>
          </w:p>
        </w:tc>
      </w:tr>
      <w:tr w:rsidR="00F3496F" w:rsidRPr="00852360" w:rsidTr="00611F6C">
        <w:trPr>
          <w:trHeight w:val="990"/>
          <w:jc w:val="center"/>
        </w:trPr>
        <w:tc>
          <w:tcPr>
            <w:tcW w:w="704" w:type="dxa"/>
            <w:shd w:val="clear" w:color="auto" w:fill="auto"/>
            <w:noWrap/>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29</w:t>
            </w:r>
          </w:p>
        </w:tc>
        <w:tc>
          <w:tcPr>
            <w:tcW w:w="949" w:type="dxa"/>
            <w:vAlign w:val="center"/>
          </w:tcPr>
          <w:p w:rsidR="00F3496F" w:rsidRPr="00B46BF3" w:rsidRDefault="00F3496F" w:rsidP="00F3496F">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0302</w:t>
            </w:r>
          </w:p>
        </w:tc>
        <w:tc>
          <w:tcPr>
            <w:tcW w:w="2595"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2C15B0">
              <w:rPr>
                <w:rFonts w:ascii="Times New Roman" w:eastAsia="Times New Roman" w:hAnsi="Times New Roman"/>
                <w:bCs w:val="0"/>
                <w:strike/>
                <w:sz w:val="26"/>
                <w:szCs w:val="26"/>
              </w:rPr>
              <w:t>Số cơ sở, lao động trong các cơ sở hành chính</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 xml:space="preserve">Số cơ sở, </w:t>
            </w:r>
            <w:r w:rsidR="00B6360A">
              <w:rPr>
                <w:rFonts w:ascii="Times New Roman" w:eastAsia="Times New Roman" w:hAnsi="Times New Roman"/>
                <w:bCs w:val="0"/>
                <w:sz w:val="26"/>
                <w:szCs w:val="26"/>
              </w:rPr>
              <w:t xml:space="preserve">số </w:t>
            </w:r>
            <w:r w:rsidRPr="00852360">
              <w:rPr>
                <w:rFonts w:ascii="Times New Roman" w:eastAsia="Times New Roman" w:hAnsi="Times New Roman"/>
                <w:bCs w:val="0"/>
                <w:sz w:val="26"/>
                <w:szCs w:val="26"/>
              </w:rPr>
              <w:t>lao động trong các cơ sở hành chính, sự nghiệp</w:t>
            </w:r>
          </w:p>
        </w:tc>
        <w:tc>
          <w:tcPr>
            <w:tcW w:w="2410"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Nội vụ</w:t>
            </w:r>
          </w:p>
        </w:tc>
        <w:tc>
          <w:tcPr>
            <w:tcW w:w="1984"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w:t>
            </w:r>
            <w:r>
              <w:rPr>
                <w:rFonts w:ascii="Times New Roman" w:eastAsia="Times New Roman" w:hAnsi="Times New Roman"/>
                <w:bCs w:val="0"/>
                <w:sz w:val="26"/>
                <w:szCs w:val="26"/>
              </w:rPr>
              <w:t xml:space="preserve">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tình hình thực tế</w:t>
            </w:r>
          </w:p>
        </w:tc>
      </w:tr>
      <w:tr w:rsidR="00E714A8" w:rsidRPr="00852360" w:rsidTr="00611F6C">
        <w:trPr>
          <w:trHeight w:val="2224"/>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30</w:t>
            </w: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0303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Số hộ, lao động kinh tế cá thể nông nghiệp, lâm nghiệp và thủy sản</w:t>
            </w:r>
            <w:r w:rsidRPr="00852360">
              <w:rPr>
                <w:rFonts w:ascii="Times New Roman" w:eastAsia="Times New Roman" w:hAnsi="Times New Roman"/>
                <w:bCs w:val="0"/>
                <w:sz w:val="26"/>
                <w:szCs w:val="26"/>
              </w:rPr>
              <w:br/>
              <w:t xml:space="preserve">Số hộ, </w:t>
            </w:r>
            <w:r w:rsidR="00CB1D70">
              <w:rPr>
                <w:rFonts w:ascii="Times New Roman" w:eastAsia="Times New Roman" w:hAnsi="Times New Roman"/>
                <w:bCs w:val="0"/>
                <w:sz w:val="26"/>
                <w:szCs w:val="26"/>
              </w:rPr>
              <w:t xml:space="preserve">số </w:t>
            </w:r>
            <w:r w:rsidRPr="00852360">
              <w:rPr>
                <w:rFonts w:ascii="Times New Roman" w:eastAsia="Times New Roman" w:hAnsi="Times New Roman"/>
                <w:bCs w:val="0"/>
                <w:sz w:val="26"/>
                <w:szCs w:val="26"/>
              </w:rPr>
              <w:t>lao động kinh tế cá thể tham gia hoạt động nông nghiệp, lâm nghiệp và thủy sản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4D1123">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tình hình thực tế</w:t>
            </w:r>
          </w:p>
        </w:tc>
      </w:tr>
      <w:tr w:rsidR="00E714A8" w:rsidRPr="00852360" w:rsidTr="00611F6C">
        <w:trPr>
          <w:trHeight w:val="231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31</w:t>
            </w: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0304</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Số doanh nghiệp, vốn, lao động, thu nhập, lợi nhuân của doanh nghiệp</w:t>
            </w:r>
            <w:r w:rsidRPr="00852360">
              <w:rPr>
                <w:rFonts w:ascii="Times New Roman" w:eastAsia="Times New Roman" w:hAnsi="Times New Roman"/>
                <w:bCs w:val="0"/>
                <w:strike/>
                <w:sz w:val="26"/>
                <w:szCs w:val="26"/>
              </w:rPr>
              <w:br/>
            </w:r>
            <w:r w:rsidRPr="00852360">
              <w:rPr>
                <w:rFonts w:ascii="Times New Roman" w:eastAsia="Times New Roman" w:hAnsi="Times New Roman"/>
                <w:bCs w:val="0"/>
                <w:sz w:val="26"/>
                <w:szCs w:val="26"/>
              </w:rPr>
              <w:t xml:space="preserve">Số doanh nghiệp, </w:t>
            </w:r>
            <w:r w:rsidR="00B6360A">
              <w:rPr>
                <w:rFonts w:ascii="Times New Roman" w:eastAsia="Times New Roman" w:hAnsi="Times New Roman"/>
                <w:bCs w:val="0"/>
                <w:sz w:val="26"/>
                <w:szCs w:val="26"/>
              </w:rPr>
              <w:t>số</w:t>
            </w:r>
            <w:r w:rsidR="00B6360A" w:rsidRPr="00852360">
              <w:rPr>
                <w:rFonts w:ascii="Times New Roman" w:eastAsia="Times New Roman" w:hAnsi="Times New Roman"/>
                <w:bCs w:val="0"/>
                <w:sz w:val="26"/>
                <w:szCs w:val="26"/>
              </w:rPr>
              <w:t xml:space="preserve"> </w:t>
            </w:r>
            <w:r w:rsidRPr="00852360">
              <w:rPr>
                <w:rFonts w:ascii="Times New Roman" w:eastAsia="Times New Roman" w:hAnsi="Times New Roman"/>
                <w:bCs w:val="0"/>
                <w:sz w:val="26"/>
                <w:szCs w:val="26"/>
              </w:rPr>
              <w:t>lao động, nguồn vốn, tài sản, doanh thu, thu nhập, lợi nhuận của doanh nghiệp</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w:t>
            </w:r>
            <w:r>
              <w:rPr>
                <w:rFonts w:ascii="Times New Roman" w:eastAsia="Times New Roman" w:hAnsi="Times New Roman"/>
                <w:bCs w:val="0"/>
                <w:sz w:val="26"/>
                <w:szCs w:val="26"/>
              </w:rPr>
              <w:t xml:space="preserve"> </w:t>
            </w:r>
            <w:r w:rsidRPr="00852360">
              <w:rPr>
                <w:rFonts w:ascii="Times New Roman" w:eastAsia="Times New Roman" w:hAnsi="Times New Roman"/>
                <w:bCs w:val="0"/>
                <w:sz w:val="26"/>
                <w:szCs w:val="26"/>
              </w:rPr>
              <w:t>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Tài chính.</w:t>
            </w:r>
          </w:p>
        </w:tc>
        <w:tc>
          <w:tcPr>
            <w:tcW w:w="1984" w:type="dxa"/>
            <w:shd w:val="clear" w:color="auto" w:fill="auto"/>
            <w:vAlign w:val="center"/>
            <w:hideMark/>
          </w:tcPr>
          <w:p w:rsidR="00E714A8" w:rsidRPr="00852360" w:rsidRDefault="004D1123"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Thống kê đầy đủ các chỉ tiêu quan trọng về tình hình hoạt động sản xuất kinh doanh của doanh nghiệp</w:t>
            </w:r>
          </w:p>
        </w:tc>
      </w:tr>
      <w:tr w:rsidR="00E714A8" w:rsidRPr="00852360" w:rsidTr="00611F6C">
        <w:trPr>
          <w:trHeight w:val="648"/>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0305</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Giá trị tăng thêm trên 01 đồng giá trị tài sản cố định của doanh nghiệp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Tổng cục Thống kê</w:t>
            </w:r>
          </w:p>
        </w:tc>
        <w:tc>
          <w:tcPr>
            <w:tcW w:w="1984" w:type="dxa"/>
            <w:shd w:val="clear" w:color="auto" w:fill="auto"/>
            <w:vAlign w:val="center"/>
            <w:hideMark/>
          </w:tcPr>
          <w:p w:rsidR="00E714A8" w:rsidRPr="00852360" w:rsidRDefault="004D1123"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9240EF">
              <w:rPr>
                <w:rFonts w:ascii="Times New Roman" w:eastAsia="Times New Roman" w:hAnsi="Times New Roman"/>
                <w:bCs w:val="0"/>
                <w:sz w:val="26"/>
                <w:szCs w:val="26"/>
              </w:rPr>
              <w:t xml:space="preserve">- Chỉ tiêu này không có nhiều ý nghĩa đối với toàn bộ nền kinh tế, </w:t>
            </w:r>
            <w:r w:rsidR="009240EF" w:rsidRPr="009240EF">
              <w:rPr>
                <w:rFonts w:ascii="Times New Roman" w:eastAsia="Times New Roman" w:hAnsi="Times New Roman"/>
                <w:bCs w:val="0"/>
                <w:sz w:val="26"/>
                <w:szCs w:val="26"/>
              </w:rPr>
              <w:t>ngoại trừ một số ít ngành như: C</w:t>
            </w:r>
            <w:r w:rsidRPr="009240EF">
              <w:rPr>
                <w:rFonts w:ascii="Times New Roman" w:eastAsia="Times New Roman" w:hAnsi="Times New Roman"/>
                <w:bCs w:val="0"/>
                <w:sz w:val="26"/>
                <w:szCs w:val="26"/>
              </w:rPr>
              <w:t>ô</w:t>
            </w:r>
            <w:r w:rsidR="009240EF" w:rsidRPr="009240EF">
              <w:rPr>
                <w:rFonts w:ascii="Times New Roman" w:eastAsia="Times New Roman" w:hAnsi="Times New Roman"/>
                <w:bCs w:val="0"/>
                <w:sz w:val="26"/>
                <w:szCs w:val="26"/>
              </w:rPr>
              <w:t>ng nghiệp, xây dựng, hàng không</w:t>
            </w:r>
            <w:r w:rsidRPr="00852360">
              <w:rPr>
                <w:rFonts w:ascii="Times New Roman" w:eastAsia="Times New Roman" w:hAnsi="Times New Roman"/>
                <w:bCs w:val="0"/>
                <w:sz w:val="26"/>
                <w:szCs w:val="26"/>
              </w:rPr>
              <w:br/>
              <w:t>-</w:t>
            </w:r>
            <w:r w:rsidR="009240EF">
              <w:rPr>
                <w:rFonts w:ascii="Times New Roman" w:eastAsia="Times New Roman" w:hAnsi="Times New Roman"/>
                <w:bCs w:val="0"/>
                <w:sz w:val="26"/>
                <w:szCs w:val="26"/>
              </w:rPr>
              <w:t xml:space="preserve"> </w:t>
            </w:r>
            <w:r w:rsidRPr="00852360">
              <w:rPr>
                <w:rFonts w:ascii="Times New Roman" w:eastAsia="Times New Roman" w:hAnsi="Times New Roman"/>
                <w:bCs w:val="0"/>
                <w:sz w:val="26"/>
                <w:szCs w:val="26"/>
              </w:rPr>
              <w:t>Không có đủ nguồn thông tin để tính giá</w:t>
            </w:r>
            <w:r w:rsidR="009240EF">
              <w:rPr>
                <w:rFonts w:ascii="Times New Roman" w:eastAsia="Times New Roman" w:hAnsi="Times New Roman"/>
                <w:bCs w:val="0"/>
                <w:sz w:val="26"/>
                <w:szCs w:val="26"/>
              </w:rPr>
              <w:t xml:space="preserve"> trị tăng thêm của doanh nghiệp</w:t>
            </w: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32</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0306</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Trang bị tài sản cố định bình quân một lao động của doanh nghiệp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33</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0307</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suất lợi nhuận của doanh nghiệp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75"/>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04. Đầu tư và xây dựng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34</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0401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Vốn đầu tư thực hiện toàn xã hội</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pacing w:val="-8"/>
                <w:sz w:val="26"/>
                <w:szCs w:val="26"/>
              </w:rPr>
            </w:pPr>
            <w:r w:rsidRPr="00852360">
              <w:rPr>
                <w:rFonts w:ascii="Times New Roman" w:eastAsia="Times New Roman" w:hAnsi="Times New Roman"/>
                <w:bCs w:val="0"/>
                <w:spacing w:val="-8"/>
                <w:sz w:val="26"/>
                <w:szCs w:val="26"/>
              </w:rPr>
              <w:t>- Phối hợp: Bộ Tài chính</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35</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pacing w:val="-4"/>
                <w:sz w:val="26"/>
                <w:szCs w:val="26"/>
              </w:rPr>
            </w:pPr>
            <w:r>
              <w:rPr>
                <w:rFonts w:ascii="Times New Roman" w:eastAsia="Times New Roman" w:hAnsi="Times New Roman"/>
                <w:bCs w:val="0"/>
                <w:spacing w:val="-4"/>
                <w:sz w:val="26"/>
                <w:szCs w:val="26"/>
              </w:rPr>
              <w:t>0402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pacing w:val="-4"/>
                <w:sz w:val="26"/>
                <w:szCs w:val="26"/>
              </w:rPr>
            </w:pPr>
            <w:r w:rsidRPr="00852360">
              <w:rPr>
                <w:rFonts w:ascii="Times New Roman" w:eastAsia="Times New Roman" w:hAnsi="Times New Roman"/>
                <w:bCs w:val="0"/>
                <w:spacing w:val="-4"/>
                <w:sz w:val="26"/>
                <w:szCs w:val="26"/>
              </w:rPr>
              <w:t>Tỷ lệ vốn đầu tư thực hiện toàn xã hội so với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36</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0403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Hiệu quả sử dụng vốn đầu tư (ICOR)</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F3496F" w:rsidRPr="00852360" w:rsidTr="00611F6C">
        <w:trPr>
          <w:trHeight w:val="1650"/>
          <w:jc w:val="center"/>
        </w:trPr>
        <w:tc>
          <w:tcPr>
            <w:tcW w:w="704" w:type="dxa"/>
            <w:shd w:val="clear" w:color="auto" w:fill="auto"/>
            <w:noWrap/>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37</w:t>
            </w:r>
          </w:p>
        </w:tc>
        <w:tc>
          <w:tcPr>
            <w:tcW w:w="949" w:type="dxa"/>
            <w:vAlign w:val="center"/>
          </w:tcPr>
          <w:p w:rsidR="00F3496F" w:rsidRPr="00B46BF3" w:rsidRDefault="00F3496F" w:rsidP="00F3496F">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0404</w:t>
            </w:r>
          </w:p>
        </w:tc>
        <w:tc>
          <w:tcPr>
            <w:tcW w:w="2595" w:type="dxa"/>
            <w:shd w:val="clear" w:color="auto" w:fill="auto"/>
            <w:vAlign w:val="center"/>
            <w:hideMark/>
          </w:tcPr>
          <w:p w:rsidR="00F3496F"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Năng lực mới tăng của nền kinh tế</w:t>
            </w:r>
          </w:p>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Năng lực mới tăng chủ yếu của nền kinh tế</w:t>
            </w:r>
          </w:p>
        </w:tc>
        <w:tc>
          <w:tcPr>
            <w:tcW w:w="2410"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w:t>
            </w:r>
            <w:r>
              <w:rPr>
                <w:rFonts w:ascii="Times New Roman" w:eastAsia="Times New Roman" w:hAnsi="Times New Roman"/>
                <w:bCs w:val="0"/>
                <w:sz w:val="26"/>
                <w:szCs w:val="26"/>
              </w:rPr>
              <w:t xml:space="preserve">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noWrap/>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Tập trung thống kê đầy đủ năng lực sản xuất  với quy mô lớn, quan trọng trong các ngành kinh tế được tạo mới và tăng thêm của các dự án đầu tư đã hoàn thành và đưa vào khai thác hoạt động trong kỳ báo cáo</w:t>
            </w: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38</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0405</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Diện tích sàn xây dựng nhà ở hoàn thành</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Phối hợp: Bộ Xây dựng</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39</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0406</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lượng nhà ở, tổng diện tích nhà ở hiện có và sử dụng</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Xây dựng.</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40</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0407</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Diện tích nhà ở bình quân đầu người</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Phối hợp: Bộ Xây dựng</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B4312">
        <w:trPr>
          <w:trHeight w:val="1782"/>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41</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diện tích nhà ở theo dự án hoàn thành trong năm</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Xây dựng</w:t>
            </w:r>
            <w:r w:rsidRPr="00852360">
              <w:rPr>
                <w:rFonts w:ascii="Times New Roman" w:eastAsia="Times New Roman" w:hAnsi="Times New Roman"/>
                <w:bCs w:val="0"/>
                <w:sz w:val="26"/>
                <w:szCs w:val="26"/>
              </w:rPr>
              <w:br/>
              <w:t>- Phối hợp: 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Xây dựng</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Nghị định số 117/2015/NĐ-CP ngày 12/11/2015 của Chính phủ về xây dựng, quản lý và sử dụng hệ thống thông tin về nhà ở và thị trường bất động sản</w:t>
            </w:r>
          </w:p>
        </w:tc>
      </w:tr>
      <w:tr w:rsidR="00E714A8" w:rsidRPr="00852360" w:rsidTr="006B4312">
        <w:trPr>
          <w:trHeight w:val="1836"/>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42</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số nhà ở và tổng diện tích nhà ở xã hội hoàn thành trong năm</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Xây dựng</w:t>
            </w:r>
            <w:r w:rsidRPr="00852360">
              <w:rPr>
                <w:rFonts w:ascii="Times New Roman" w:eastAsia="Times New Roman" w:hAnsi="Times New Roman"/>
                <w:bCs w:val="0"/>
                <w:sz w:val="26"/>
                <w:szCs w:val="26"/>
              </w:rPr>
              <w:br/>
              <w:t>- Phối hợp: 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Xây dựng</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Nghị định số 117/2015/NĐ-CP ngày 12/11/2015 của Chính phủ về xây dựng, quản lý và sử dụng hệ thống thông tin về nhà ở và thị trường bất động sản</w:t>
            </w:r>
          </w:p>
        </w:tc>
      </w:tr>
      <w:tr w:rsidR="00E714A8" w:rsidRPr="00852360" w:rsidTr="00611F6C">
        <w:trPr>
          <w:trHeight w:val="375"/>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E714A8" w:rsidRPr="008F2E47" w:rsidRDefault="00E714A8" w:rsidP="00CB6527">
            <w:pPr>
              <w:spacing w:before="100" w:after="100" w:line="240" w:lineRule="auto"/>
              <w:jc w:val="both"/>
              <w:rPr>
                <w:rFonts w:ascii="Times New Roman Bold" w:eastAsia="Times New Roman" w:hAnsi="Times New Roman Bold"/>
                <w:b/>
                <w:spacing w:val="-4"/>
                <w:sz w:val="26"/>
                <w:szCs w:val="26"/>
              </w:rPr>
            </w:pPr>
            <w:r w:rsidRPr="008F2E47">
              <w:rPr>
                <w:rFonts w:ascii="Times New Roman Bold" w:eastAsia="Times New Roman" w:hAnsi="Times New Roman Bold"/>
                <w:b/>
                <w:spacing w:val="-4"/>
                <w:sz w:val="26"/>
                <w:szCs w:val="26"/>
              </w:rPr>
              <w:t>05. Tài khoản quốc gia</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43</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0501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sản phẩm trong nước (GDP)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44</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0502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Cơ cấu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45</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0503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Tốc độ tăng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F3496F" w:rsidRPr="00852360" w:rsidTr="00611F6C">
        <w:trPr>
          <w:trHeight w:val="3625"/>
          <w:jc w:val="center"/>
        </w:trPr>
        <w:tc>
          <w:tcPr>
            <w:tcW w:w="704" w:type="dxa"/>
            <w:shd w:val="clear" w:color="auto" w:fill="auto"/>
            <w:noWrap/>
            <w:vAlign w:val="center"/>
            <w:hideMark/>
          </w:tcPr>
          <w:p w:rsidR="00F3496F" w:rsidRPr="00B46BF3" w:rsidRDefault="00F3496F" w:rsidP="00F3496F">
            <w:pPr>
              <w:spacing w:before="100" w:after="100" w:line="240" w:lineRule="auto"/>
              <w:jc w:val="center"/>
              <w:rPr>
                <w:rFonts w:ascii="Times New Roman" w:eastAsia="Times New Roman" w:hAnsi="Times New Roman"/>
                <w:bCs w:val="0"/>
                <w:sz w:val="26"/>
                <w:szCs w:val="26"/>
              </w:rPr>
            </w:pPr>
          </w:p>
        </w:tc>
        <w:tc>
          <w:tcPr>
            <w:tcW w:w="949" w:type="dxa"/>
            <w:vAlign w:val="center"/>
          </w:tcPr>
          <w:p w:rsidR="00F3496F" w:rsidRPr="00B46BF3" w:rsidRDefault="00F3496F" w:rsidP="00F3496F">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0504</w:t>
            </w:r>
          </w:p>
        </w:tc>
        <w:tc>
          <w:tcPr>
            <w:tcW w:w="2595"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Tổng sản phẩm trong nước xanh (GDP xanh)</w:t>
            </w:r>
          </w:p>
        </w:tc>
        <w:tc>
          <w:tcPr>
            <w:tcW w:w="2410"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Tổng cục Thống kê</w:t>
            </w:r>
          </w:p>
        </w:tc>
        <w:tc>
          <w:tcPr>
            <w:tcW w:w="1984"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w:t>
            </w:r>
            <w:r>
              <w:rPr>
                <w:rFonts w:ascii="Times New Roman" w:eastAsia="Times New Roman" w:hAnsi="Times New Roman"/>
                <w:bCs w:val="0"/>
                <w:sz w:val="26"/>
                <w:szCs w:val="26"/>
              </w:rPr>
              <w:t xml:space="preserve">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noWrap/>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3685" w:type="dxa"/>
            <w:shd w:val="clear" w:color="auto" w:fill="auto"/>
            <w:vAlign w:val="center"/>
            <w:hideMark/>
          </w:tcPr>
          <w:p w:rsidR="00F3496F"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Số liệu công bố chỉ tiêu này trên các trang Web của các tổ chức quốc tế có uy tín như WB, IMF, OECD vẫn còn thiếu vắng</w:t>
            </w:r>
          </w:p>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Trong khoảng 5 năm tới Việt Nam chưa thể đủ nguồn lực để tính chính thức chỉ tiêu này. Chỉ có một số quốc gia phát triển trên thế giới mới có nghiên cứu, lập tài khoản SEEA và tính toán chỉ tiêu GDP xanh như Hà Lan, Mỹ</w:t>
            </w:r>
          </w:p>
        </w:tc>
      </w:tr>
      <w:tr w:rsidR="00F3496F" w:rsidRPr="00852360" w:rsidTr="00611F6C">
        <w:trPr>
          <w:trHeight w:val="1980"/>
          <w:jc w:val="center"/>
        </w:trPr>
        <w:tc>
          <w:tcPr>
            <w:tcW w:w="704" w:type="dxa"/>
            <w:shd w:val="clear" w:color="auto" w:fill="auto"/>
            <w:noWrap/>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46</w:t>
            </w:r>
          </w:p>
        </w:tc>
        <w:tc>
          <w:tcPr>
            <w:tcW w:w="949" w:type="dxa"/>
            <w:vAlign w:val="center"/>
          </w:tcPr>
          <w:p w:rsidR="00F3496F" w:rsidRPr="00B46BF3" w:rsidRDefault="00F3496F" w:rsidP="00F3496F">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0505</w:t>
            </w:r>
          </w:p>
        </w:tc>
        <w:tc>
          <w:tcPr>
            <w:tcW w:w="2595" w:type="dxa"/>
            <w:shd w:val="clear" w:color="auto" w:fill="auto"/>
            <w:vAlign w:val="center"/>
            <w:hideMark/>
          </w:tcPr>
          <w:p w:rsidR="00F3496F" w:rsidRDefault="00F3496F" w:rsidP="00F3496F">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Tổng sản phẩm trong nước bình quân đầu người (tính bằng Đồng Việt Nam (VND), Đô la Mỹ (USD))</w:t>
            </w:r>
          </w:p>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sản phẩm trong nước bình quân đầu người</w:t>
            </w:r>
          </w:p>
        </w:tc>
        <w:tc>
          <w:tcPr>
            <w:tcW w:w="2410"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w:t>
            </w:r>
            <w:r>
              <w:rPr>
                <w:rFonts w:ascii="Times New Roman" w:eastAsia="Times New Roman" w:hAnsi="Times New Roman"/>
                <w:bCs w:val="0"/>
                <w:sz w:val="26"/>
                <w:szCs w:val="26"/>
              </w:rPr>
              <w:t xml:space="preserve">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Tên chỉ tiêu cần ngắn gọn, không để đơn vị tính, tính theo đơn vị nào thì thể hiện ở phân tổ của chỉ tiêu đó</w:t>
            </w: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47</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0506</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Tích lũy tài sản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48</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0507</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Tiêu dùng cuối cùng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49</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0508</w:t>
            </w:r>
          </w:p>
        </w:tc>
        <w:tc>
          <w:tcPr>
            <w:tcW w:w="2595" w:type="dxa"/>
            <w:shd w:val="clear" w:color="auto" w:fill="auto"/>
            <w:vAlign w:val="center"/>
            <w:hideMark/>
          </w:tcPr>
          <w:p w:rsidR="00E714A8" w:rsidRPr="008F2E47" w:rsidRDefault="00E714A8" w:rsidP="00CB6527">
            <w:pPr>
              <w:spacing w:before="100" w:after="100" w:line="240" w:lineRule="auto"/>
              <w:jc w:val="both"/>
              <w:rPr>
                <w:rFonts w:ascii="Times New Roman" w:eastAsia="Times New Roman" w:hAnsi="Times New Roman"/>
                <w:bCs w:val="0"/>
                <w:sz w:val="26"/>
                <w:szCs w:val="26"/>
              </w:rPr>
            </w:pPr>
            <w:r w:rsidRPr="008F2E47">
              <w:rPr>
                <w:rFonts w:ascii="Times New Roman" w:eastAsia="Times New Roman" w:hAnsi="Times New Roman"/>
                <w:bCs w:val="0"/>
                <w:sz w:val="26"/>
                <w:szCs w:val="26"/>
              </w:rPr>
              <w:t>Thu nhập quốc gia (GNI)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50</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0509</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thu nhập quốc gia so với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51</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0510</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Thu nhập quốc gia khả dụng (NDI)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52</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pacing w:val="-4"/>
                <w:sz w:val="26"/>
                <w:szCs w:val="26"/>
              </w:rPr>
            </w:pPr>
            <w:r>
              <w:rPr>
                <w:rFonts w:ascii="Times New Roman" w:eastAsia="Times New Roman" w:hAnsi="Times New Roman"/>
                <w:bCs w:val="0"/>
                <w:spacing w:val="-4"/>
                <w:sz w:val="26"/>
                <w:szCs w:val="26"/>
              </w:rPr>
              <w:t>0511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pacing w:val="-4"/>
                <w:sz w:val="26"/>
                <w:szCs w:val="26"/>
              </w:rPr>
            </w:pPr>
            <w:r w:rsidRPr="00852360">
              <w:rPr>
                <w:rFonts w:ascii="Times New Roman" w:eastAsia="Times New Roman" w:hAnsi="Times New Roman"/>
                <w:bCs w:val="0"/>
                <w:spacing w:val="-4"/>
                <w:sz w:val="26"/>
                <w:szCs w:val="26"/>
              </w:rPr>
              <w:t>Tỷ lệ tiết kiệm so với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53</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0512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tiết kiệm so với tích lũy tài sản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54</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0513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Mức tiêu hao và tăng/giảm mức tiêu hao năng lượng cho sản xuất so với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55</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pacing w:val="-4"/>
                <w:sz w:val="26"/>
                <w:szCs w:val="26"/>
              </w:rPr>
            </w:pPr>
            <w:r>
              <w:rPr>
                <w:rFonts w:ascii="Times New Roman" w:eastAsia="Times New Roman" w:hAnsi="Times New Roman"/>
                <w:bCs w:val="0"/>
                <w:spacing w:val="-4"/>
                <w:sz w:val="26"/>
                <w:szCs w:val="26"/>
              </w:rPr>
              <w:t>0514</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pacing w:val="-4"/>
                <w:sz w:val="26"/>
                <w:szCs w:val="26"/>
              </w:rPr>
            </w:pPr>
            <w:r w:rsidRPr="00852360">
              <w:rPr>
                <w:rFonts w:ascii="Times New Roman" w:eastAsia="Times New Roman" w:hAnsi="Times New Roman"/>
                <w:bCs w:val="0"/>
                <w:spacing w:val="-4"/>
                <w:sz w:val="26"/>
                <w:szCs w:val="26"/>
              </w:rPr>
              <w:t>Tốc độ tăng năng suất các nhân tố tổng hợp (TFP)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8F2E47">
        <w:trPr>
          <w:trHeight w:val="1782"/>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56</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0515</w:t>
            </w:r>
          </w:p>
        </w:tc>
        <w:tc>
          <w:tcPr>
            <w:tcW w:w="2595" w:type="dxa"/>
            <w:shd w:val="clear" w:color="auto" w:fill="auto"/>
            <w:vAlign w:val="center"/>
            <w:hideMark/>
          </w:tcPr>
          <w:p w:rsidR="00E714A8" w:rsidRPr="008F2E47" w:rsidRDefault="00E714A8" w:rsidP="00CB6527">
            <w:pPr>
              <w:spacing w:before="100" w:after="100" w:line="240" w:lineRule="auto"/>
              <w:jc w:val="both"/>
              <w:rPr>
                <w:rFonts w:ascii="Times New Roman" w:eastAsia="Times New Roman" w:hAnsi="Times New Roman"/>
                <w:bCs w:val="0"/>
                <w:sz w:val="26"/>
                <w:szCs w:val="26"/>
              </w:rPr>
            </w:pPr>
            <w:r w:rsidRPr="008F2E47">
              <w:rPr>
                <w:rFonts w:ascii="Times New Roman" w:eastAsia="Times New Roman" w:hAnsi="Times New Roman"/>
                <w:bCs w:val="0"/>
                <w:sz w:val="26"/>
                <w:szCs w:val="26"/>
              </w:rPr>
              <w:t>Tỷ trọng đóng góp của các yếu tố vốn, lao động, năng suất các nhân tố tổng hợp vào tốc độ tăng trưởng chung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F3496F" w:rsidRPr="00852360" w:rsidTr="00611F6C">
        <w:trPr>
          <w:trHeight w:val="2640"/>
          <w:jc w:val="center"/>
        </w:trPr>
        <w:tc>
          <w:tcPr>
            <w:tcW w:w="704" w:type="dxa"/>
            <w:shd w:val="clear" w:color="auto" w:fill="auto"/>
            <w:noWrap/>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57</w:t>
            </w:r>
          </w:p>
        </w:tc>
        <w:tc>
          <w:tcPr>
            <w:tcW w:w="949" w:type="dxa"/>
            <w:vAlign w:val="center"/>
          </w:tcPr>
          <w:p w:rsidR="00F3496F" w:rsidRPr="00852360" w:rsidRDefault="00F3496F" w:rsidP="00F3496F">
            <w:pPr>
              <w:spacing w:before="100" w:after="100" w:line="240" w:lineRule="auto"/>
              <w:jc w:val="center"/>
              <w:rPr>
                <w:rFonts w:ascii="Times New Roman" w:eastAsia="Times New Roman" w:hAnsi="Times New Roman"/>
                <w:bCs w:val="0"/>
                <w:strike/>
                <w:sz w:val="26"/>
                <w:szCs w:val="26"/>
              </w:rPr>
            </w:pPr>
          </w:p>
        </w:tc>
        <w:tc>
          <w:tcPr>
            <w:tcW w:w="2595"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Tỷ trọng giá trị tăng thêm của dịch vụ logistics trong tổng sản phẩm trong nước</w:t>
            </w:r>
          </w:p>
        </w:tc>
        <w:tc>
          <w:tcPr>
            <w:tcW w:w="2410" w:type="dxa"/>
            <w:shd w:val="clear" w:color="auto" w:fill="auto"/>
            <w:vAlign w:val="center"/>
            <w:hideMark/>
          </w:tcPr>
          <w:p w:rsidR="00F3496F"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Giao thông vận tải</w:t>
            </w:r>
          </w:p>
        </w:tc>
        <w:tc>
          <w:tcPr>
            <w:tcW w:w="1984"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w:t>
            </w:r>
            <w:r>
              <w:rPr>
                <w:rFonts w:ascii="Times New Roman" w:eastAsia="Times New Roman" w:hAnsi="Times New Roman"/>
                <w:bCs w:val="0"/>
                <w:sz w:val="26"/>
                <w:szCs w:val="26"/>
              </w:rPr>
              <w:t xml:space="preserve">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Quyết định số 221/QĐ-TTg ngày 22/02/2021 sửa đổi, bổ sung Quyết định số 200/QĐ-TTg ngày 14/02/2017 về việc phê duyệt Kế hoạch hành động nâng cao năng lực cạnh tranh và phát triển dịch vụ logistics Việt Nam đến năm 2025 quy định "Đến năm 2025, tỷ trọng đóng góp của dịch vụ logistics vào GDP đạt 5%-6%"</w:t>
            </w:r>
          </w:p>
        </w:tc>
      </w:tr>
      <w:tr w:rsidR="00F3496F" w:rsidRPr="00852360" w:rsidTr="00611F6C">
        <w:trPr>
          <w:trHeight w:val="507"/>
          <w:jc w:val="center"/>
        </w:trPr>
        <w:tc>
          <w:tcPr>
            <w:tcW w:w="704" w:type="dxa"/>
            <w:shd w:val="clear" w:color="auto" w:fill="auto"/>
            <w:noWrap/>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58</w:t>
            </w:r>
          </w:p>
        </w:tc>
        <w:tc>
          <w:tcPr>
            <w:tcW w:w="949" w:type="dxa"/>
            <w:vAlign w:val="center"/>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Chi phí logistics so với tổng sản phẩm trong nước</w:t>
            </w:r>
          </w:p>
        </w:tc>
        <w:tc>
          <w:tcPr>
            <w:tcW w:w="2410"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w:t>
            </w:r>
            <w:r>
              <w:rPr>
                <w:rFonts w:ascii="Times New Roman" w:eastAsia="Times New Roman" w:hAnsi="Times New Roman"/>
                <w:bCs w:val="0"/>
                <w:sz w:val="26"/>
                <w:szCs w:val="26"/>
              </w:rPr>
              <w:t xml:space="preserve">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F3496F" w:rsidRPr="00852360" w:rsidRDefault="00F3496F" w:rsidP="00F3496F">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F3496F" w:rsidRPr="00852360" w:rsidRDefault="00F3496F" w:rsidP="00F3496F">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Quyết định số 221/QĐ-TTg ngày 22/02/2021 sửa đổi, bổ sung Quyết định số 200/QĐ-TTg ngày 14/02/2017 về việc phê duyệt Kế hoạch hành động nâng cao năng lực cạnh tranh và phát triển dịch vụ logistics Việt Nam đến năm 2025 quy định "chi phí logistics </w:t>
            </w:r>
            <w:r w:rsidRPr="00852360">
              <w:rPr>
                <w:rFonts w:ascii="Times New Roman" w:eastAsia="Times New Roman" w:hAnsi="Times New Roman"/>
                <w:bCs w:val="0"/>
                <w:sz w:val="26"/>
                <w:szCs w:val="26"/>
              </w:rPr>
              <w:lastRenderedPageBreak/>
              <w:t>giảm xuống tương đương 16%-20% GDP"</w:t>
            </w:r>
          </w:p>
        </w:tc>
      </w:tr>
      <w:tr w:rsidR="00E714A8" w:rsidRPr="00852360" w:rsidTr="00611F6C">
        <w:trPr>
          <w:trHeight w:val="198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59</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trike/>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trọng giá trị tăng thêm của kinh tế số trong tổng sản phẩm trong nước</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Thông tin và Truyền thông</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DF154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Nghị quyết đại hội đại biểu toàn quốc lần thứ XIII, định hướng các chỉ tiêu chủ yếu phát triển kinh tế - xã hội 5 năm 2021-2025 nêu mục tiêu "Kinh tế số chiếm khoảng 20% GDP"</w:t>
            </w:r>
          </w:p>
        </w:tc>
      </w:tr>
      <w:tr w:rsidR="00E714A8" w:rsidRPr="00852360" w:rsidTr="00611F6C">
        <w:trPr>
          <w:trHeight w:val="375"/>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06. Tài chính công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60</w:t>
            </w: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0601</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Thu và cơ cấu thu ngân sách nhà nước</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Thu ngân sách nhà nước và cơ cấu thu</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văn bản pháp luật chuyên ngành</w:t>
            </w: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61</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0602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thu ngân sách nhà nước so với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48"/>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62</w:t>
            </w: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0603</w:t>
            </w:r>
          </w:p>
        </w:tc>
        <w:tc>
          <w:tcPr>
            <w:tcW w:w="2595" w:type="dxa"/>
            <w:shd w:val="clear" w:color="auto" w:fill="auto"/>
            <w:vAlign w:val="center"/>
            <w:hideMark/>
          </w:tcPr>
          <w:p w:rsidR="008F2E47"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Tỷ lệ động viên thu ngân sách từ thuế, lệ phí so với tổng sản phẩm trong nước</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Tỷ lệ thu từ thuế, phí so với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văn bản pháp luật chuyên ngành</w:t>
            </w: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63</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trike/>
                <w:sz w:val="26"/>
                <w:szCs w:val="26"/>
              </w:rPr>
            </w:pPr>
            <w:r>
              <w:rPr>
                <w:rFonts w:ascii="Times New Roman" w:eastAsia="Times New Roman" w:hAnsi="Times New Roman"/>
                <w:bCs w:val="0"/>
                <w:strike/>
                <w:sz w:val="26"/>
                <w:szCs w:val="26"/>
              </w:rPr>
              <w:t>0604</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Chi và cơ cấu chi ngân sách nhà nước</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Chi ngân sách nhà nước và cơ cấu chi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xml:space="preserve">Phù hợp với văn bản pháp luật </w:t>
            </w:r>
            <w:r w:rsidRPr="00852360">
              <w:rPr>
                <w:rFonts w:ascii="Times New Roman" w:eastAsia="Times New Roman" w:hAnsi="Times New Roman"/>
                <w:bCs w:val="0"/>
                <w:sz w:val="26"/>
                <w:szCs w:val="26"/>
              </w:rPr>
              <w:t>chuyên ngành</w:t>
            </w: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64</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0605</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chi ngân sách nhà nước so với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65</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0606</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Bội chi ngân sách nhà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66</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0607</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bội chi ngân sách nhà nước so với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67</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0608</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Dư nợ của Chính phủ</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098"/>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68</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0609</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Dư nợ nước ngoài của quốc gia</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Tài chính</w:t>
            </w:r>
            <w:r w:rsidRPr="00852360">
              <w:rPr>
                <w:rFonts w:ascii="Times New Roman" w:eastAsia="Times New Roman" w:hAnsi="Times New Roman"/>
                <w:bCs w:val="0"/>
                <w:sz w:val="26"/>
                <w:szCs w:val="26"/>
              </w:rPr>
              <w:br/>
              <w:t>- Phối hợp: Ngân hàng Nhà nước Việt Nam</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69</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0610</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Dư nợ công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
                <w:strike/>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r w:rsidRPr="008F2E47">
              <w:rPr>
                <w:rFonts w:ascii="Times New Roman Bold" w:eastAsia="Times New Roman" w:hAnsi="Times New Roman Bold"/>
                <w:b/>
                <w:strike/>
                <w:spacing w:val="-6"/>
                <w:sz w:val="26"/>
                <w:szCs w:val="26"/>
              </w:rPr>
              <w:t>07. Tiền tệ và bảo hiểm</w:t>
            </w:r>
            <w:r>
              <w:rPr>
                <w:rFonts w:ascii="Times New Roman" w:eastAsia="Times New Roman" w:hAnsi="Times New Roman"/>
                <w:b/>
                <w:sz w:val="26"/>
                <w:szCs w:val="26"/>
              </w:rPr>
              <w:br/>
              <w:t>07</w:t>
            </w:r>
            <w:r w:rsidRPr="00852360">
              <w:rPr>
                <w:rFonts w:ascii="Times New Roman" w:eastAsia="Times New Roman" w:hAnsi="Times New Roman"/>
                <w:b/>
                <w:sz w:val="26"/>
                <w:szCs w:val="26"/>
              </w:rPr>
              <w:t>. Tiền tệ, bảo hiểm và chứng khoán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Bổ sung một số chỉ tiêu cơ bản phản ánh thị trường chứng khoán</w:t>
            </w: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70</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0701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phương tiện thanh toán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9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71</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tổng phương tiện thanh toán so với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5D62B2"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966819">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Độ sâu tài chính hay tỷ lệ tổng phương tiện thanh toán so với tổng sản phẩm trong nước là một chỉ tiêu vĩ mô dùng để đánh giá khả năng cung ứng vốn của khu vực tài chính đối với nền kinh tế. Chỉ tiêu này được quy định trong Hệ thống chỉ tiêu thống kê ASEAN, hằng năm các tổ chức quốc tế đều đánh giá sự phát triển thị trường tài chính của các quốc gia trên thế giới thông qua chỉ tiêu này. Như vậy chỉ tiêu này là cần thiết, phù hợp với yêu cầu của quá trình hội nhập</w:t>
            </w: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72</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0702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Tốc độ tăng tổng phương tiện thanh toán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73</w:t>
            </w:r>
          </w:p>
        </w:tc>
        <w:tc>
          <w:tcPr>
            <w:tcW w:w="949" w:type="dxa"/>
            <w:vAlign w:val="center"/>
          </w:tcPr>
          <w:p w:rsidR="00E714A8" w:rsidRPr="00B451BC" w:rsidRDefault="00B46BF3" w:rsidP="00611F6C">
            <w:pPr>
              <w:spacing w:before="100" w:after="100" w:line="240" w:lineRule="auto"/>
              <w:jc w:val="center"/>
              <w:rPr>
                <w:rFonts w:ascii="Times New Roman" w:eastAsia="Times New Roman" w:hAnsi="Times New Roman"/>
                <w:bCs w:val="0"/>
                <w:sz w:val="26"/>
                <w:szCs w:val="26"/>
              </w:rPr>
            </w:pPr>
            <w:r w:rsidRPr="00B451BC">
              <w:rPr>
                <w:rFonts w:ascii="Times New Roman" w:eastAsia="Times New Roman" w:hAnsi="Times New Roman"/>
                <w:bCs w:val="0"/>
                <w:sz w:val="26"/>
                <w:szCs w:val="26"/>
              </w:rPr>
              <w:t>0703</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Số dư huy động vốn của các tổ chức tín dụng</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Số dư huy động vốn của </w:t>
            </w:r>
            <w:r w:rsidR="00B451BC">
              <w:rPr>
                <w:rFonts w:ascii="Times New Roman" w:eastAsia="Times New Roman" w:hAnsi="Times New Roman"/>
                <w:bCs w:val="0"/>
                <w:sz w:val="26"/>
                <w:szCs w:val="26"/>
              </w:rPr>
              <w:t xml:space="preserve">các </w:t>
            </w:r>
            <w:r w:rsidRPr="00852360">
              <w:rPr>
                <w:rFonts w:ascii="Times New Roman" w:eastAsia="Times New Roman" w:hAnsi="Times New Roman"/>
                <w:bCs w:val="0"/>
                <w:sz w:val="26"/>
                <w:szCs w:val="26"/>
              </w:rPr>
              <w:t>tổ chức tín dụng, chi nhánh ngân hàng nước ngoài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văn bản pháp luật chuyên ngành</w:t>
            </w: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74</w:t>
            </w:r>
          </w:p>
        </w:tc>
        <w:tc>
          <w:tcPr>
            <w:tcW w:w="949" w:type="dxa"/>
            <w:vAlign w:val="center"/>
          </w:tcPr>
          <w:p w:rsidR="00E714A8" w:rsidRPr="00B451BC" w:rsidRDefault="00B46BF3" w:rsidP="00611F6C">
            <w:pPr>
              <w:spacing w:before="100" w:after="100" w:line="240" w:lineRule="auto"/>
              <w:jc w:val="center"/>
              <w:rPr>
                <w:rFonts w:ascii="Times New Roman" w:eastAsia="Times New Roman" w:hAnsi="Times New Roman"/>
                <w:bCs w:val="0"/>
                <w:sz w:val="26"/>
                <w:szCs w:val="26"/>
              </w:rPr>
            </w:pPr>
            <w:r w:rsidRPr="00B451BC">
              <w:rPr>
                <w:rFonts w:ascii="Times New Roman" w:eastAsia="Times New Roman" w:hAnsi="Times New Roman"/>
                <w:bCs w:val="0"/>
                <w:sz w:val="26"/>
                <w:szCs w:val="26"/>
              </w:rPr>
              <w:t>0704</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Dư nợ tín dụng của các tổ chức tín dụng</w:t>
            </w:r>
          </w:p>
          <w:p w:rsidR="00E714A8" w:rsidRPr="00852360" w:rsidRDefault="00E714A8" w:rsidP="00CB652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Dư nợ tín dụng của các tổ chức tín dụng, chi nhánh ngân hàng nước ngoài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văn bản pháp luật chuyên ngành</w:t>
            </w:r>
          </w:p>
        </w:tc>
      </w:tr>
      <w:tr w:rsidR="00E714A8" w:rsidRPr="00852360" w:rsidTr="00611F6C">
        <w:trPr>
          <w:trHeight w:val="198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75</w:t>
            </w:r>
          </w:p>
        </w:tc>
        <w:tc>
          <w:tcPr>
            <w:tcW w:w="949" w:type="dxa"/>
            <w:vAlign w:val="center"/>
          </w:tcPr>
          <w:p w:rsidR="00E714A8" w:rsidRPr="00847470" w:rsidRDefault="00B46BF3" w:rsidP="00611F6C">
            <w:pPr>
              <w:spacing w:before="100" w:after="100" w:line="240" w:lineRule="auto"/>
              <w:jc w:val="center"/>
              <w:rPr>
                <w:rFonts w:ascii="Times New Roman" w:eastAsia="Times New Roman" w:hAnsi="Times New Roman"/>
                <w:bCs w:val="0"/>
                <w:sz w:val="26"/>
                <w:szCs w:val="26"/>
              </w:rPr>
            </w:pPr>
            <w:r w:rsidRPr="00847470">
              <w:rPr>
                <w:rFonts w:ascii="Times New Roman" w:eastAsia="Times New Roman" w:hAnsi="Times New Roman"/>
                <w:bCs w:val="0"/>
                <w:sz w:val="26"/>
                <w:szCs w:val="26"/>
              </w:rPr>
              <w:t>0705</w:t>
            </w:r>
          </w:p>
        </w:tc>
        <w:tc>
          <w:tcPr>
            <w:tcW w:w="2595" w:type="dxa"/>
            <w:shd w:val="clear" w:color="auto" w:fill="auto"/>
            <w:vAlign w:val="center"/>
            <w:hideMark/>
          </w:tcPr>
          <w:p w:rsidR="008F2E47"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Tốc độ tăng dư nợ tín dụng của các tổ chức tín dụng</w:t>
            </w:r>
          </w:p>
          <w:p w:rsidR="00E714A8" w:rsidRPr="00852360" w:rsidRDefault="00E714A8" w:rsidP="00CB652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Tốc độ tăng dư nợ tín dụng của các tổ chức tín dụng, chi nhánh ngân hàng nước ngoài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văn bản pháp luật chuyên ngành</w:t>
            </w: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76</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0706</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Lãi suất</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77</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0707</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Cán cân thanh toán quốc tế</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78</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0708</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cán cân vãng lai so với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0709</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Vốn đầu tư gián tiếp nước ngoài vào Việt Nam và Việt Nam ra nước ngoài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 Chủ trì: Ngân hàng Nhà nước Việt Nam</w:t>
            </w:r>
            <w:proofErr w:type="gramStart"/>
            <w:r w:rsidRPr="00852360">
              <w:rPr>
                <w:rFonts w:ascii="Times New Roman" w:eastAsia="Times New Roman" w:hAnsi="Times New Roman"/>
                <w:bCs w:val="0"/>
                <w:strike/>
                <w:sz w:val="26"/>
                <w:szCs w:val="26"/>
              </w:rPr>
              <w:t>;</w:t>
            </w:r>
            <w:proofErr w:type="gramEnd"/>
            <w:r w:rsidRPr="00852360">
              <w:rPr>
                <w:rFonts w:ascii="Times New Roman" w:eastAsia="Times New Roman" w:hAnsi="Times New Roman"/>
                <w:bCs w:val="0"/>
                <w:strike/>
                <w:sz w:val="26"/>
                <w:szCs w:val="26"/>
              </w:rPr>
              <w:br/>
              <w:t>- Phối hợp: Bộ Tài chính.</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Bỏ chỉ tiêu vì chỉ tiêu này đã bao gồm trong cán cân thanh toán quốc tế</w:t>
            </w:r>
          </w:p>
        </w:tc>
      </w:tr>
      <w:tr w:rsidR="00E714A8" w:rsidRPr="00852360" w:rsidTr="00611F6C">
        <w:trPr>
          <w:trHeight w:val="231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79</w:t>
            </w: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0710</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trike/>
                <w:sz w:val="26"/>
                <w:szCs w:val="26"/>
              </w:rPr>
              <w:t>Tỷ giá giao dịch bình quân trên thị trường ngoại tệ liên ngân hàng của Đồng Việt Nam (VND) với Đô la Mỹ (USD)</w:t>
            </w:r>
            <w:r w:rsidRPr="00852360">
              <w:rPr>
                <w:rFonts w:ascii="Times New Roman" w:eastAsia="Times New Roman" w:hAnsi="Times New Roman"/>
                <w:bCs w:val="0"/>
                <w:i/>
                <w:iCs/>
                <w:sz w:val="26"/>
                <w:szCs w:val="26"/>
              </w:rPr>
              <w:br/>
            </w:r>
            <w:r>
              <w:rPr>
                <w:rFonts w:ascii="Times New Roman" w:eastAsia="Times New Roman" w:hAnsi="Times New Roman"/>
                <w:bCs w:val="0"/>
                <w:sz w:val="26"/>
                <w:szCs w:val="26"/>
              </w:rPr>
              <w:t>Tỷ giá của đồng Việt Nam với Đ</w:t>
            </w:r>
            <w:r w:rsidRPr="00852360">
              <w:rPr>
                <w:rFonts w:ascii="Times New Roman" w:eastAsia="Times New Roman" w:hAnsi="Times New Roman"/>
                <w:bCs w:val="0"/>
                <w:sz w:val="26"/>
                <w:szCs w:val="26"/>
              </w:rPr>
              <w:t>ô la Mỹ</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Ngân hàng Nhà nước Việt Nam</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Tên chỉ tiêu hiện tại không phù hợp với chỉ tiêu tỷ giá mà Ngân hàng Nhà nước đang sử dụng để điều hành chính sách tiền tệ hiện nay</w:t>
            </w: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80</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0711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thu phí, chi trả bảo hiểm</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Tài chính</w:t>
            </w:r>
            <w:r w:rsidRPr="00852360">
              <w:rPr>
                <w:rFonts w:ascii="Times New Roman" w:eastAsia="Times New Roman" w:hAnsi="Times New Roman"/>
                <w:bCs w:val="0"/>
                <w:sz w:val="26"/>
                <w:szCs w:val="26"/>
              </w:rPr>
              <w:br/>
              <w:t>- Phối hợp: 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81</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0712</w:t>
            </w:r>
          </w:p>
        </w:tc>
        <w:tc>
          <w:tcPr>
            <w:tcW w:w="2595" w:type="dxa"/>
            <w:shd w:val="clear" w:color="auto" w:fill="auto"/>
            <w:vAlign w:val="center"/>
            <w:hideMark/>
          </w:tcPr>
          <w:p w:rsidR="00E714A8" w:rsidRPr="00E9250C" w:rsidRDefault="00E714A8" w:rsidP="00CB6527">
            <w:pPr>
              <w:spacing w:before="100" w:after="100" w:line="240" w:lineRule="auto"/>
              <w:jc w:val="both"/>
              <w:rPr>
                <w:rFonts w:ascii="Times New Roman" w:eastAsia="Times New Roman" w:hAnsi="Times New Roman"/>
                <w:bCs w:val="0"/>
                <w:spacing w:val="-4"/>
                <w:sz w:val="26"/>
                <w:szCs w:val="26"/>
              </w:rPr>
            </w:pPr>
            <w:r w:rsidRPr="00E9250C">
              <w:rPr>
                <w:rFonts w:ascii="Times New Roman" w:eastAsia="Times New Roman" w:hAnsi="Times New Roman"/>
                <w:bCs w:val="0"/>
                <w:spacing w:val="-4"/>
                <w:sz w:val="26"/>
                <w:szCs w:val="26"/>
              </w:rPr>
              <w:t>Số người đóng bảo hiểm xã hội, bảo hiểm y tế, bảo hiểm thất nghiệp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Bảo hiểm Xã hội Việt Nam</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noWrap/>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82</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người tham gia bảo hiểm y tế</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132D1A">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Nghị quyết đại hội đại biểu toàn quốc lần thứ XIII quy định "tỷ lệ tham gia bảo hiểm y tế đạt 95% dân số"</w:t>
            </w: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83</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0713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người được hưởng bảo hiểm xã hội, bảo hiểm y tế, bảo hiểm thất nghiệp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Bảo hiểm Xã hội Việt Nam</w:t>
            </w:r>
          </w:p>
        </w:tc>
        <w:tc>
          <w:tcPr>
            <w:tcW w:w="1984" w:type="dxa"/>
            <w:shd w:val="clear" w:color="auto" w:fill="auto"/>
            <w:vAlign w:val="center"/>
            <w:hideMark/>
          </w:tcPr>
          <w:p w:rsidR="00E714A8" w:rsidRPr="00852360" w:rsidRDefault="00E714A8" w:rsidP="00B56EB1">
            <w:pPr>
              <w:spacing w:before="100" w:after="100" w:line="240" w:lineRule="auto"/>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5558DB">
        <w:trPr>
          <w:trHeight w:val="1049"/>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84</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0714</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Thu, chi bảo hiểm xã hội, bảo hiểm y tế, bảo hiểm thất nghiệp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Bảo hiểm Xã hội Việt Nam</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5558DB">
        <w:trPr>
          <w:trHeight w:val="7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85</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Giá trị vốn hóa thị trường cổ phiếu</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Bộ Tài chính</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BF19A9" w:rsidRDefault="00E714A8" w:rsidP="00F16AD5">
            <w:pPr>
              <w:spacing w:before="100" w:after="100" w:line="240" w:lineRule="auto"/>
              <w:jc w:val="both"/>
              <w:rPr>
                <w:rFonts w:ascii="Times New Roman" w:eastAsia="Times New Roman" w:hAnsi="Times New Roman"/>
                <w:bCs w:val="0"/>
                <w:spacing w:val="-3"/>
                <w:sz w:val="26"/>
                <w:szCs w:val="26"/>
              </w:rPr>
            </w:pPr>
            <w:r w:rsidRPr="00BF19A9">
              <w:rPr>
                <w:rFonts w:ascii="Times New Roman" w:eastAsia="Times New Roman" w:hAnsi="Times New Roman"/>
                <w:bCs w:val="0"/>
                <w:spacing w:val="-3"/>
                <w:sz w:val="26"/>
                <w:szCs w:val="26"/>
              </w:rPr>
              <w:t xml:space="preserve">Quyết định số 149/QĐ-TTg ngày 22/01/2020 của Thủ tướng Chính phủ phê duyệt Chiến lược tài chính toàn diện quốc gia đến năm </w:t>
            </w:r>
            <w:r w:rsidR="00F16AD5" w:rsidRPr="00BF19A9">
              <w:rPr>
                <w:rFonts w:ascii="Times New Roman" w:eastAsia="Times New Roman" w:hAnsi="Times New Roman"/>
                <w:bCs w:val="0"/>
                <w:spacing w:val="-3"/>
                <w:sz w:val="26"/>
                <w:szCs w:val="26"/>
              </w:rPr>
              <w:t>2025, định hướng đến năm 2030</w:t>
            </w:r>
          </w:p>
        </w:tc>
      </w:tr>
      <w:tr w:rsidR="00BF19A9" w:rsidRPr="00852360" w:rsidTr="005558DB">
        <w:trPr>
          <w:trHeight w:val="1641"/>
          <w:jc w:val="center"/>
        </w:trPr>
        <w:tc>
          <w:tcPr>
            <w:tcW w:w="704" w:type="dxa"/>
            <w:shd w:val="clear" w:color="auto" w:fill="auto"/>
            <w:noWrap/>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86</w:t>
            </w:r>
          </w:p>
        </w:tc>
        <w:tc>
          <w:tcPr>
            <w:tcW w:w="949" w:type="dxa"/>
            <w:vAlign w:val="center"/>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F19A9" w:rsidRPr="00852360" w:rsidRDefault="00BF19A9" w:rsidP="00BF19A9">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vốn hóa thị trường cổ phiếu so với tổng sản phẩm trong nước</w:t>
            </w:r>
          </w:p>
        </w:tc>
        <w:tc>
          <w:tcPr>
            <w:tcW w:w="2410" w:type="dxa"/>
            <w:shd w:val="clear" w:color="auto" w:fill="auto"/>
            <w:vAlign w:val="center"/>
            <w:hideMark/>
          </w:tcPr>
          <w:p w:rsidR="00BF19A9" w:rsidRPr="00852360" w:rsidRDefault="00BF19A9" w:rsidP="00BF19A9">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Bộ Tài chính</w:t>
            </w:r>
          </w:p>
        </w:tc>
        <w:tc>
          <w:tcPr>
            <w:tcW w:w="1984"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026"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675" w:type="dxa"/>
            <w:shd w:val="clear" w:color="auto" w:fill="auto"/>
            <w:noWrap/>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F19A9" w:rsidRPr="00BF19A9" w:rsidRDefault="005558DB" w:rsidP="00BF19A9">
            <w:pPr>
              <w:spacing w:before="100" w:after="100" w:line="240" w:lineRule="auto"/>
              <w:jc w:val="both"/>
              <w:rPr>
                <w:rFonts w:ascii="Times New Roman" w:eastAsia="Times New Roman" w:hAnsi="Times New Roman"/>
                <w:bCs w:val="0"/>
                <w:spacing w:val="-3"/>
                <w:sz w:val="26"/>
                <w:szCs w:val="26"/>
              </w:rPr>
            </w:pPr>
            <w:r w:rsidRPr="00BF19A9">
              <w:rPr>
                <w:rFonts w:ascii="Times New Roman" w:eastAsia="Times New Roman" w:hAnsi="Times New Roman"/>
                <w:bCs w:val="0"/>
                <w:spacing w:val="-3"/>
                <w:sz w:val="26"/>
                <w:szCs w:val="26"/>
              </w:rPr>
              <w:t>Quyết định số 149/QĐ-TTg ngày 22/01/2020 của Thủ tướng Chính phủ phê duyệt Chiến lược tài chính toàn diện quốc gia đến năm 2025, định hướng đến năm 2030</w:t>
            </w:r>
          </w:p>
        </w:tc>
      </w:tr>
      <w:tr w:rsidR="00BF19A9" w:rsidRPr="00852360" w:rsidTr="005558DB">
        <w:trPr>
          <w:trHeight w:val="1495"/>
          <w:jc w:val="center"/>
        </w:trPr>
        <w:tc>
          <w:tcPr>
            <w:tcW w:w="704" w:type="dxa"/>
            <w:shd w:val="clear" w:color="auto" w:fill="auto"/>
            <w:noWrap/>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87</w:t>
            </w:r>
          </w:p>
        </w:tc>
        <w:tc>
          <w:tcPr>
            <w:tcW w:w="949" w:type="dxa"/>
            <w:vAlign w:val="center"/>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F19A9" w:rsidRPr="00852360" w:rsidRDefault="00BF19A9" w:rsidP="00BF19A9">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Tốc độ tăng giá trị vốn hóa thị trường cổ phiếu</w:t>
            </w:r>
          </w:p>
        </w:tc>
        <w:tc>
          <w:tcPr>
            <w:tcW w:w="2410" w:type="dxa"/>
            <w:shd w:val="clear" w:color="auto" w:fill="auto"/>
            <w:vAlign w:val="center"/>
            <w:hideMark/>
          </w:tcPr>
          <w:p w:rsidR="00BF19A9" w:rsidRPr="00852360" w:rsidRDefault="00BF19A9" w:rsidP="00BF19A9">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Bộ Tài chính</w:t>
            </w:r>
          </w:p>
        </w:tc>
        <w:tc>
          <w:tcPr>
            <w:tcW w:w="1984"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026"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F19A9" w:rsidRPr="00BF19A9" w:rsidRDefault="005558DB" w:rsidP="00BF19A9">
            <w:pPr>
              <w:spacing w:before="100" w:after="100" w:line="240" w:lineRule="auto"/>
              <w:jc w:val="both"/>
              <w:rPr>
                <w:rFonts w:ascii="Times New Roman" w:eastAsia="Times New Roman" w:hAnsi="Times New Roman"/>
                <w:bCs w:val="0"/>
                <w:spacing w:val="-3"/>
                <w:sz w:val="26"/>
                <w:szCs w:val="26"/>
              </w:rPr>
            </w:pPr>
            <w:r w:rsidRPr="00BF19A9">
              <w:rPr>
                <w:rFonts w:ascii="Times New Roman" w:eastAsia="Times New Roman" w:hAnsi="Times New Roman"/>
                <w:bCs w:val="0"/>
                <w:spacing w:val="-3"/>
                <w:sz w:val="26"/>
                <w:szCs w:val="26"/>
              </w:rPr>
              <w:t>Quyết định số 149/QĐ-TTg ngày 22/01/2020 của Thủ tướng Chính phủ phê duyệt Chiến lược tài chính toàn diện quốc gia đến năm 2025, định hướng đến năm 2030</w:t>
            </w:r>
          </w:p>
        </w:tc>
      </w:tr>
      <w:tr w:rsidR="00BF19A9" w:rsidRPr="00852360" w:rsidTr="005558DB">
        <w:trPr>
          <w:trHeight w:val="1633"/>
          <w:jc w:val="center"/>
        </w:trPr>
        <w:tc>
          <w:tcPr>
            <w:tcW w:w="704" w:type="dxa"/>
            <w:shd w:val="clear" w:color="auto" w:fill="auto"/>
            <w:noWrap/>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88</w:t>
            </w:r>
          </w:p>
        </w:tc>
        <w:tc>
          <w:tcPr>
            <w:tcW w:w="949" w:type="dxa"/>
            <w:vAlign w:val="center"/>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F19A9" w:rsidRPr="00852360" w:rsidRDefault="00BF19A9" w:rsidP="00BF19A9">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Giá trị huy động vốn qua phát hành cổ phiếu trên thị trường chứng khoán</w:t>
            </w:r>
          </w:p>
        </w:tc>
        <w:tc>
          <w:tcPr>
            <w:tcW w:w="2410" w:type="dxa"/>
            <w:shd w:val="clear" w:color="auto" w:fill="auto"/>
            <w:vAlign w:val="center"/>
            <w:hideMark/>
          </w:tcPr>
          <w:p w:rsidR="00BF19A9" w:rsidRPr="00852360" w:rsidRDefault="00BF19A9" w:rsidP="00BF19A9">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Bộ Tài chính</w:t>
            </w:r>
          </w:p>
        </w:tc>
        <w:tc>
          <w:tcPr>
            <w:tcW w:w="1984"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026"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F19A9" w:rsidRPr="00852360" w:rsidRDefault="00BF19A9" w:rsidP="00BF19A9">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F19A9" w:rsidRPr="00BF19A9" w:rsidRDefault="005558DB" w:rsidP="00BF19A9">
            <w:pPr>
              <w:spacing w:before="100" w:after="100" w:line="240" w:lineRule="auto"/>
              <w:jc w:val="both"/>
              <w:rPr>
                <w:rFonts w:ascii="Times New Roman" w:eastAsia="Times New Roman" w:hAnsi="Times New Roman"/>
                <w:bCs w:val="0"/>
                <w:spacing w:val="-3"/>
                <w:sz w:val="26"/>
                <w:szCs w:val="26"/>
              </w:rPr>
            </w:pPr>
            <w:r w:rsidRPr="00BF19A9">
              <w:rPr>
                <w:rFonts w:ascii="Times New Roman" w:eastAsia="Times New Roman" w:hAnsi="Times New Roman"/>
                <w:bCs w:val="0"/>
                <w:spacing w:val="-3"/>
                <w:sz w:val="26"/>
                <w:szCs w:val="26"/>
              </w:rPr>
              <w:t>Quyết định số 149/QĐ-TTg ngày 22/01/2020 của Thủ tướng Chính phủ phê duyệt Chiến lược tài chính toàn diện quốc gia đến năm 2025, định hướng đến năm 2030</w:t>
            </w: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08. Nông nghiệp, lâm nghiệp và thủy sản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041FD">
        <w:trPr>
          <w:trHeight w:val="649"/>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89</w:t>
            </w: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0801</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Diện tích gieo trồng cây hàng năm</w:t>
            </w:r>
          </w:p>
          <w:p w:rsidR="00E714A8" w:rsidRPr="00852360" w:rsidRDefault="00E714A8" w:rsidP="00CB652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Diện tích cây hàng năm</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BF19A9">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color w:val="000000"/>
                <w:sz w:val="26"/>
                <w:szCs w:val="26"/>
              </w:rPr>
            </w:pPr>
            <w:r w:rsidRPr="00852360">
              <w:rPr>
                <w:rFonts w:ascii="Times New Roman" w:eastAsia="Times New Roman" w:hAnsi="Times New Roman"/>
                <w:bCs w:val="0"/>
                <w:color w:val="000000"/>
                <w:sz w:val="26"/>
                <w:szCs w:val="26"/>
              </w:rPr>
              <w:t xml:space="preserve">Chỉ tiêu "diện tích cây hàng năm" bao gồm thông tin về: Diện tích gieo trồng cây hàng năm, diện tích thu hoạch cây hàng năm, diện tích cho sản phẩm cây hàng năm </w:t>
            </w:r>
            <w:r w:rsidRPr="00852360">
              <w:rPr>
                <w:rFonts w:ascii="Times New Roman" w:eastAsia="Times New Roman" w:hAnsi="Times New Roman"/>
                <w:bCs w:val="0"/>
                <w:color w:val="000000"/>
                <w:sz w:val="26"/>
                <w:szCs w:val="26"/>
              </w:rPr>
              <w:lastRenderedPageBreak/>
              <w:t>nhưng không thu hoạch, diện tích mất trắng cây hàng năm</w:t>
            </w: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90</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0802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Diện tích cây lâu năm</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91</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0803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Năng suất một số loại cây trồng chủ yếu</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92</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0804</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Sản lượng một số loại cây trồng chủ yếu</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93</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0805</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Cân đối một số nông sản chủ yếu</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94</w:t>
            </w: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0806</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Số lượng gia súc, gia cầm và vật nuôi khác</w:t>
            </w:r>
          </w:p>
          <w:p w:rsidR="00E714A8" w:rsidRPr="00852360" w:rsidRDefault="0023051F"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xml:space="preserve">Số </w:t>
            </w:r>
            <w:r w:rsidR="00E714A8" w:rsidRPr="00852360">
              <w:rPr>
                <w:rFonts w:ascii="Times New Roman" w:eastAsia="Times New Roman" w:hAnsi="Times New Roman"/>
                <w:bCs w:val="0"/>
                <w:sz w:val="26"/>
                <w:szCs w:val="26"/>
              </w:rPr>
              <w:t>gia súc, gia cầm và động vật khác trong chăn nuôi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quy định của Luật Chăn nuôi và các văn bản hướng dẫn thi hành</w:t>
            </w: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95</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0807</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Sản lượng một số sản phẩm chăn nuôi chủ yếu</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96</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0808</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Diện tích rừng trồng mới tập trung</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Nông nghiệp và Phát triển nông thôn</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97</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0809</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Sản lượng gỗ và lâm sản ngoài gỗ</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Nông nghiệp và Phát triển nông thôn</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98</w:t>
            </w: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0810</w:t>
            </w:r>
          </w:p>
        </w:tc>
        <w:tc>
          <w:tcPr>
            <w:tcW w:w="2595" w:type="dxa"/>
            <w:shd w:val="clear" w:color="auto" w:fill="auto"/>
            <w:vAlign w:val="center"/>
            <w:hideMark/>
          </w:tcPr>
          <w:p w:rsidR="00D67970"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Diện tích nuôi trồng thủy sản</w:t>
            </w:r>
          </w:p>
          <w:p w:rsidR="00E714A8" w:rsidRPr="00852360" w:rsidRDefault="00E714A8" w:rsidP="00CB652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Diện tích nuôi trồng, thu hoạch thủy sản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tình hình thực tế</w:t>
            </w: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99</w:t>
            </w:r>
          </w:p>
        </w:tc>
        <w:tc>
          <w:tcPr>
            <w:tcW w:w="949" w:type="dxa"/>
            <w:vAlign w:val="center"/>
          </w:tcPr>
          <w:p w:rsidR="00E714A8" w:rsidRPr="00852360" w:rsidRDefault="00B46BF3"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0811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Sản lượng thủy sản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041FD">
        <w:trPr>
          <w:trHeight w:val="649"/>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100</w:t>
            </w:r>
          </w:p>
        </w:tc>
        <w:tc>
          <w:tcPr>
            <w:tcW w:w="949" w:type="dxa"/>
            <w:vAlign w:val="center"/>
          </w:tcPr>
          <w:p w:rsidR="00E714A8" w:rsidRPr="00B46BF3" w:rsidRDefault="00B46BF3" w:rsidP="00611F6C">
            <w:pPr>
              <w:spacing w:before="100" w:after="100" w:line="240" w:lineRule="auto"/>
              <w:jc w:val="center"/>
              <w:rPr>
                <w:rFonts w:ascii="Times New Roman" w:eastAsia="Times New Roman" w:hAnsi="Times New Roman"/>
                <w:bCs w:val="0"/>
                <w:sz w:val="26"/>
                <w:szCs w:val="26"/>
              </w:rPr>
            </w:pPr>
            <w:r w:rsidRPr="00B46BF3">
              <w:rPr>
                <w:rFonts w:ascii="Times New Roman" w:eastAsia="Times New Roman" w:hAnsi="Times New Roman"/>
                <w:bCs w:val="0"/>
                <w:sz w:val="26"/>
                <w:szCs w:val="26"/>
              </w:rPr>
              <w:t>0812</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Số lượng và công suất tàu thuyền có động cơ khai thác hải sản</w:t>
            </w:r>
          </w:p>
          <w:p w:rsidR="00E714A8" w:rsidRPr="00852360" w:rsidRDefault="00E714A8" w:rsidP="00CB652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 xml:space="preserve">Số lượng và công suất tàu thuyền khai thác </w:t>
            </w:r>
            <w:r w:rsidRPr="00852360">
              <w:rPr>
                <w:rFonts w:ascii="Times New Roman" w:eastAsia="Times New Roman" w:hAnsi="Times New Roman"/>
                <w:bCs w:val="0"/>
                <w:sz w:val="26"/>
                <w:szCs w:val="26"/>
              </w:rPr>
              <w:lastRenderedPageBreak/>
              <w:t>thủy sản biển có động cơ</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Nội dung chỉ tiêu không thay đổi, chỉ thay đổi tên cho phù hợp với phương án điều tra đã ban hành và người dùng tin dễ hiểu hơn</w:t>
            </w:r>
          </w:p>
        </w:tc>
      </w:tr>
      <w:tr w:rsidR="00E714A8" w:rsidRPr="00852360" w:rsidTr="00984D3B">
        <w:trPr>
          <w:trHeight w:val="108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101</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mất an ninh lương thực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Chỉ tiêu </w:t>
            </w:r>
            <w:r w:rsidR="00984D3B">
              <w:rPr>
                <w:rFonts w:ascii="Times New Roman" w:eastAsia="Times New Roman" w:hAnsi="Times New Roman"/>
                <w:bCs w:val="0"/>
                <w:sz w:val="26"/>
                <w:szCs w:val="26"/>
              </w:rPr>
              <w:t xml:space="preserve">này </w:t>
            </w:r>
            <w:r w:rsidRPr="00852360">
              <w:rPr>
                <w:rFonts w:ascii="Times New Roman" w:eastAsia="Times New Roman" w:hAnsi="Times New Roman"/>
                <w:bCs w:val="0"/>
                <w:sz w:val="26"/>
                <w:szCs w:val="26"/>
              </w:rPr>
              <w:t>thuộc bộ chỉ tiêu phát triển bền vững toàn cầu</w:t>
            </w:r>
            <w:r w:rsidR="00984D3B">
              <w:rPr>
                <w:rFonts w:ascii="Times New Roman" w:eastAsia="Times New Roman" w:hAnsi="Times New Roman"/>
                <w:bCs w:val="0"/>
                <w:sz w:val="26"/>
                <w:szCs w:val="26"/>
              </w:rPr>
              <w:t xml:space="preserve"> (SDG)</w:t>
            </w:r>
          </w:p>
        </w:tc>
      </w:tr>
      <w:tr w:rsidR="00E714A8" w:rsidRPr="00852360" w:rsidTr="00984D3B">
        <w:trPr>
          <w:trHeight w:val="1394"/>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102</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diện tích đất nông nghiệp đạt hiệu quả và bền vững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984D3B"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Chỉ tiêu </w:t>
            </w:r>
            <w:r>
              <w:rPr>
                <w:rFonts w:ascii="Times New Roman" w:eastAsia="Times New Roman" w:hAnsi="Times New Roman"/>
                <w:bCs w:val="0"/>
                <w:sz w:val="26"/>
                <w:szCs w:val="26"/>
              </w:rPr>
              <w:t xml:space="preserve">này </w:t>
            </w:r>
            <w:r w:rsidRPr="00852360">
              <w:rPr>
                <w:rFonts w:ascii="Times New Roman" w:eastAsia="Times New Roman" w:hAnsi="Times New Roman"/>
                <w:bCs w:val="0"/>
                <w:sz w:val="26"/>
                <w:szCs w:val="26"/>
              </w:rPr>
              <w:t>thuộc bộ chỉ tiêu phát triển bền vững toàn cầu</w:t>
            </w:r>
            <w:r>
              <w:rPr>
                <w:rFonts w:ascii="Times New Roman" w:eastAsia="Times New Roman" w:hAnsi="Times New Roman"/>
                <w:bCs w:val="0"/>
                <w:sz w:val="26"/>
                <w:szCs w:val="26"/>
              </w:rPr>
              <w:t xml:space="preserve"> (SDG)</w:t>
            </w:r>
          </w:p>
        </w:tc>
      </w:tr>
      <w:tr w:rsidR="00E714A8" w:rsidRPr="00852360" w:rsidTr="00611F6C">
        <w:trPr>
          <w:trHeight w:val="375"/>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09. Công nghiệp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103</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0901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sản xuất công nghiệp</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104</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0902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Sản lượng một số sản phẩm công nghiệp chủ yếu</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297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105</w:t>
            </w: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0903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Tỷ trọng giá trị xuất khẩu sản phẩm công nghệ cao trong tổng giá trị sản phẩm công nghệ cao</w:t>
            </w:r>
            <w:r w:rsidRPr="00852360">
              <w:rPr>
                <w:rFonts w:ascii="Times New Roman" w:eastAsia="Times New Roman" w:hAnsi="Times New Roman"/>
                <w:bCs w:val="0"/>
                <w:sz w:val="26"/>
                <w:szCs w:val="26"/>
              </w:rPr>
              <w:t xml:space="preserve">. </w:t>
            </w:r>
            <w:r w:rsidRPr="00852360">
              <w:rPr>
                <w:rFonts w:ascii="Times New Roman" w:eastAsia="Times New Roman" w:hAnsi="Times New Roman"/>
                <w:bCs w:val="0"/>
                <w:sz w:val="26"/>
                <w:szCs w:val="26"/>
              </w:rPr>
              <w:br/>
              <w:t>Tỷ trọng giá trị xuất khẩu ngành công nghiệp công nghệ cao trong tổng giá trị ngành công nghiệp công nghệ cao</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Công thương, Bộ Khoa học và Công nghệ, Bộ Tài chính</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hợp theo tiêu chí của Tổ chức Phát triển công nghiệp của Liên hợp quốc (UNIDO) về ngành công nghiệp công nghệ cao, công nghệ trung bình và công nghệ thấp.</w:t>
            </w: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0904</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Tỷ trọng công nghiệp chế biến trong tổng sản phẩm trong nước</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Bỏ chỉ tiêu vì chỉ tiêu này đã nằm trong phân tổ của chỉ tiêu "Tỷ trọng công nghiệp chế biến trong tổng sản phẩm trong nước"</w:t>
            </w:r>
          </w:p>
        </w:tc>
      </w:tr>
      <w:tr w:rsidR="00E714A8" w:rsidRPr="00852360" w:rsidTr="006041FD">
        <w:trPr>
          <w:trHeight w:val="507"/>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106</w:t>
            </w: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0905</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 xml:space="preserve">Giá trị tăng thêm bình quân đầu người của công nghiệp chế biến theo sức mua tương đương </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Giá trị tăng thêm ngành công nghiệp chế biến, chế tạo bình quân </w:t>
            </w:r>
            <w:r w:rsidRPr="00852360">
              <w:rPr>
                <w:rFonts w:ascii="Times New Roman" w:eastAsia="Times New Roman" w:hAnsi="Times New Roman"/>
                <w:bCs w:val="0"/>
                <w:sz w:val="26"/>
                <w:szCs w:val="26"/>
              </w:rPr>
              <w:lastRenderedPageBreak/>
              <w:t>đầu người theo sức mua tương đương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Hệ thống ngành kinh tế Việt Nam quy định tên ngành cấp 2 đầy đủ là công nghiệp chế biến, chế tạo</w:t>
            </w: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107</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0906</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tiêu thụ sản phẩm công nghiệp chế biến, chế tạo</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108</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0907</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tồn kho sản phẩm công nghiệp chế biến, chế tạo</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109</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0908</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Cân đối một số năng lượng chủ yếu</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110</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0909</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Năng lực sản xuất của sản phẩm công nghiệp</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Công thương</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75"/>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Bold" w:eastAsia="Times New Roman" w:hAnsi="Times New Roman Bold"/>
                <w:b/>
                <w:spacing w:val="-4"/>
                <w:sz w:val="26"/>
                <w:szCs w:val="26"/>
              </w:rPr>
            </w:pPr>
          </w:p>
        </w:tc>
        <w:tc>
          <w:tcPr>
            <w:tcW w:w="2595" w:type="dxa"/>
            <w:shd w:val="clear" w:color="auto" w:fill="auto"/>
            <w:vAlign w:val="center"/>
            <w:hideMark/>
          </w:tcPr>
          <w:p w:rsidR="00E714A8" w:rsidRPr="000E30F4" w:rsidRDefault="00E714A8" w:rsidP="00CB6527">
            <w:pPr>
              <w:spacing w:before="100" w:after="100" w:line="240" w:lineRule="auto"/>
              <w:jc w:val="both"/>
              <w:rPr>
                <w:rFonts w:ascii="Times New Roman Bold" w:eastAsia="Times New Roman" w:hAnsi="Times New Roman Bold"/>
                <w:b/>
                <w:sz w:val="26"/>
                <w:szCs w:val="26"/>
              </w:rPr>
            </w:pPr>
            <w:r w:rsidRPr="000E30F4">
              <w:rPr>
                <w:rFonts w:ascii="Times New Roman Bold" w:eastAsia="Times New Roman" w:hAnsi="Times New Roman Bold"/>
                <w:b/>
                <w:sz w:val="26"/>
                <w:szCs w:val="26"/>
              </w:rPr>
              <w:t>10. Thương mại, dịch vụ</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111</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1001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Doanh thu bán lẻ hàng hoá</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112</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1002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Doanh thu dịch vụ lưu trú và ăn uống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113</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1003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Doanh thu dịch vụ khác</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ngành có quản lý dịch vụ</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114</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Doanh thu dịch vụ kinh doanh bất động sản</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ngành quản lý dịch vụ</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Hoạt động kinh doanh bất động sản ngày càng phát triển, ảnh hưởng đến kinh tế vĩ mô</w:t>
            </w: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115</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1004</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lượng chợ, siêu thị, trung tâm thương mại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Công Thương</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00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116</w:t>
            </w: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1005</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Giá trị xuất khẩu, nhập khẩu hàng hoá</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Trị giá hàng hóa xuất khẩu, nhập khẩu</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Tài chính</w:t>
            </w:r>
            <w:r w:rsidRPr="00852360">
              <w:rPr>
                <w:rFonts w:ascii="Times New Roman" w:eastAsia="Times New Roman" w:hAnsi="Times New Roman"/>
                <w:bCs w:val="0"/>
                <w:sz w:val="26"/>
                <w:szCs w:val="26"/>
              </w:rPr>
              <w:br/>
              <w:t>- Phối hợp: 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Thuật ngữ "trị giá" có ngữ nghĩa là phản ánh giá trị bằng tiền của hàng hóa và dịch vụ</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Phù hợp với quy định về trị giá hải quan được sử dụng làm cơ sở cho việc tính thuế xuất khẩu, thuế nhập khẩu và thống kê hàng hóa xuất khẩu, nhập khẩu</w:t>
            </w: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117</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1006</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Mặt hàng xuất khẩu, nhập khẩu</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Tài chính</w:t>
            </w:r>
            <w:r w:rsidRPr="00852360">
              <w:rPr>
                <w:rFonts w:ascii="Times New Roman" w:eastAsia="Times New Roman" w:hAnsi="Times New Roman"/>
                <w:bCs w:val="0"/>
                <w:sz w:val="26"/>
                <w:szCs w:val="26"/>
              </w:rPr>
              <w:br/>
              <w:t>- Phối hợp: 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118</w:t>
            </w: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1007</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Xuất siêu, nhập siêu hàng hoá</w:t>
            </w:r>
          </w:p>
          <w:p w:rsidR="00E714A8" w:rsidRPr="00852360" w:rsidRDefault="00E714A8" w:rsidP="00CB652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Cán cân thương mại hàng hóa</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Tên chỉ tiêu “Xuất siêu, nhập siêu hàng hóa” không thể hiện được hết 03 trạng thái: Thặng dư (xuất siêu), thâm hụt (nhập siêu) và cân bằng của cán cân thương mại hàng hóa.</w:t>
            </w:r>
          </w:p>
        </w:tc>
      </w:tr>
      <w:tr w:rsidR="00E714A8" w:rsidRPr="00852360" w:rsidTr="00611F6C">
        <w:trPr>
          <w:trHeight w:val="198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119</w:t>
            </w: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1008</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Giá trị xuất khẩu, nhập khẩu dịch vụ</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Trị giá dịch vụ xuất khẩu, nhập khẩu</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r w:rsidRPr="00852360">
              <w:rPr>
                <w:rFonts w:ascii="Times New Roman" w:eastAsia="Times New Roman" w:hAnsi="Times New Roman"/>
                <w:bCs w:val="0"/>
                <w:sz w:val="26"/>
                <w:szCs w:val="26"/>
              </w:rPr>
              <w:br/>
              <w:t>- Phối hợp: Ngân hàng Nhà nước Việt Nam; Bộ, ngành có quản lý dịch vụ</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"Trị giá" phản ánh giá trị bằng tiền của hàng hóa và dịch vụ trong khi từ "giá trị" có nghĩa rất rộng có thể là giá trị về vật chất hoặc tinh thần hoặc phản ánh hiệu lực của một vấn đề (ví dụ hợp đồng hết giá trị),...</w:t>
            </w: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120</w:t>
            </w: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1009</w:t>
            </w:r>
          </w:p>
        </w:tc>
        <w:tc>
          <w:tcPr>
            <w:tcW w:w="2595" w:type="dxa"/>
            <w:shd w:val="clear" w:color="auto" w:fill="auto"/>
            <w:vAlign w:val="center"/>
            <w:hideMark/>
          </w:tcPr>
          <w:p w:rsidR="00A73C62"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Xuất siêu, nhập siêu dịch vụ</w:t>
            </w:r>
          </w:p>
          <w:p w:rsidR="00E714A8" w:rsidRPr="00852360" w:rsidRDefault="00E714A8" w:rsidP="00CB652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Cán cân thương mại dịch vụ</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tình hình thực tế</w:t>
            </w: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1010</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Tỷ trọng giá trị hàng xuất khẩu đã qua chế biến trong tổng giá trị xuất khẩu hàng hoá</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Bỏ chỉ tiêu vì đã công bố số liệu của các nhóm hàng này. Người sử dụng số liệu có thể tính các chỉ tiêu này linh hoạt theo nhu cầu sử dụng</w:t>
            </w: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1011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Tỷ trọng giá trị xuất khẩu sản phẩm công nghệ cao trong tổng giá trị xuất khẩu hàng hóa</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 Phối hợp: Bộ Công thương, Bộ Khoa học và Công nghệ</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Bỏ chỉ tiêu vì đã công bố số liệu của các nhóm hàng này. Người sử dụng số liệu có thể tính các chỉ tiêu này linh hoạt theo nhu cầu sử dụng</w:t>
            </w:r>
          </w:p>
        </w:tc>
      </w:tr>
      <w:tr w:rsidR="00E714A8" w:rsidRPr="00852360" w:rsidTr="00611F6C">
        <w:trPr>
          <w:trHeight w:val="649"/>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1012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Tỷ trọng giá trị xuất khẩu khoáng sản trong tổng giá trị xuất khẩu hàng hoá</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Bỏ chỉ tiêu vì đã công bố số liệu của các nhóm hàng này. Người sử dụng số liệu có thể tính các chỉ tiêu này linh hoạt theo nhu cầu sử dụng</w:t>
            </w: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1013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Tỷ trọng giá trị nhập khẩu tư liệu sản xuất trong tổng giá trị nhập khẩu hàng hoá</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Bỏ chỉ tiêu vì đã công bố số liệu của các nhóm hàng này. Người sử dụng số liệu có thể tính các chỉ tiêu này linh hoạt theo nhu cầu sử dụng</w:t>
            </w: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
                <w:strike/>
                <w:sz w:val="26"/>
                <w:szCs w:val="26"/>
              </w:rPr>
            </w:pP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
                <w:strike/>
                <w:sz w:val="26"/>
                <w:szCs w:val="26"/>
              </w:rPr>
            </w:pPr>
            <w:r w:rsidRPr="00852360">
              <w:rPr>
                <w:rFonts w:ascii="Times New Roman" w:eastAsia="Times New Roman" w:hAnsi="Times New Roman"/>
                <w:b/>
                <w:strike/>
                <w:sz w:val="26"/>
                <w:szCs w:val="26"/>
              </w:rPr>
              <w:t>11. Giá cả</w:t>
            </w:r>
          </w:p>
          <w:p w:rsidR="00E714A8" w:rsidRPr="00852360" w:rsidRDefault="00E714A8" w:rsidP="00CB652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11. Chỉ số giá</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Cụm từ "Giá cả" không phù hợp trong văn viết</w:t>
            </w:r>
          </w:p>
        </w:tc>
      </w:tr>
      <w:tr w:rsidR="00E714A8" w:rsidRPr="00852360" w:rsidTr="00611F6C">
        <w:trPr>
          <w:trHeight w:val="9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121</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1101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giá tiêu dùng (CPI), chỉ số giá vàng, chỉ số giá Đô la Mỹ</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33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122</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1102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lạm phát cơ bản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123</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1103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giá sinh hoạt theo không gian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124</w:t>
            </w: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1104</w:t>
            </w:r>
          </w:p>
        </w:tc>
        <w:tc>
          <w:tcPr>
            <w:tcW w:w="2595"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Chỉ số giá nguyên liệu, nhiên liệu, vật liệu dùng cho sản xuất</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giá nguyên, nhiên, vật liệu dùng cho sản xuất</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Sửa tên chỉ tiêu ngắn gọn, nội dung chỉ tiêu không thay đổi</w:t>
            </w:r>
          </w:p>
        </w:tc>
      </w:tr>
      <w:tr w:rsidR="00E714A8" w:rsidRPr="00852360" w:rsidTr="00611F6C">
        <w:trPr>
          <w:trHeight w:val="231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125</w:t>
            </w: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1105</w:t>
            </w:r>
          </w:p>
        </w:tc>
        <w:tc>
          <w:tcPr>
            <w:tcW w:w="2595" w:type="dxa"/>
            <w:shd w:val="clear" w:color="auto" w:fill="auto"/>
            <w:vAlign w:val="center"/>
            <w:hideMark/>
          </w:tcPr>
          <w:p w:rsidR="000E30F4" w:rsidRDefault="00E714A8" w:rsidP="00CB652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Chỉ số giá sản xuất nông nghiệp, lâm nghiệp, thủy sản, công nghiệp và dịch vụ</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giá sản xuất nông nghiệp, lâm nghiệp, thủy sản, công nghiệp, xây dựng và dịch vụ</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tình hình thực tế và các văn bản pháp luật hiện hành</w:t>
            </w:r>
          </w:p>
        </w:tc>
      </w:tr>
      <w:tr w:rsidR="00E714A8" w:rsidRPr="00852360" w:rsidTr="00611F6C">
        <w:trPr>
          <w:trHeight w:val="150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205A77" w:rsidRDefault="00205A77" w:rsidP="00611F6C">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1106</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Chỉ số giá xây dựng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Bộ Xây dựng</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Xây dựng</w:t>
            </w:r>
          </w:p>
        </w:tc>
        <w:tc>
          <w:tcPr>
            <w:tcW w:w="1026"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3685" w:type="dxa"/>
            <w:shd w:val="clear" w:color="auto" w:fill="auto"/>
            <w:vAlign w:val="center"/>
            <w:hideMark/>
          </w:tcPr>
          <w:p w:rsidR="00E714A8" w:rsidRPr="00852360" w:rsidRDefault="00E714A8" w:rsidP="0037428D">
            <w:pPr>
              <w:spacing w:before="100" w:after="100" w:line="240" w:lineRule="auto"/>
              <w:jc w:val="both"/>
              <w:rPr>
                <w:rFonts w:ascii="Times New Roman" w:eastAsia="Times New Roman" w:hAnsi="Times New Roman"/>
                <w:bCs w:val="0"/>
                <w:color w:val="000000"/>
                <w:sz w:val="26"/>
                <w:szCs w:val="26"/>
              </w:rPr>
            </w:pPr>
            <w:r w:rsidRPr="00852360">
              <w:rPr>
                <w:rFonts w:ascii="Times New Roman" w:eastAsia="Times New Roman" w:hAnsi="Times New Roman"/>
                <w:bCs w:val="0"/>
                <w:color w:val="000000"/>
                <w:sz w:val="26"/>
                <w:szCs w:val="26"/>
              </w:rPr>
              <w:t xml:space="preserve">Chuyển thành chỉ tiêu ngành </w:t>
            </w:r>
            <w:r w:rsidR="00666C91" w:rsidRPr="00666C91">
              <w:rPr>
                <w:rFonts w:ascii="Times New Roman" w:eastAsia="Times New Roman" w:hAnsi="Times New Roman"/>
                <w:bCs w:val="0"/>
                <w:color w:val="000000"/>
                <w:sz w:val="26"/>
                <w:szCs w:val="26"/>
              </w:rPr>
              <w:t>Xây dựng</w:t>
            </w:r>
            <w:r w:rsidR="00666C91">
              <w:rPr>
                <w:rFonts w:ascii="Times New Roman" w:eastAsia="Times New Roman" w:hAnsi="Times New Roman"/>
                <w:bCs w:val="0"/>
                <w:color w:val="000000"/>
                <w:sz w:val="26"/>
                <w:szCs w:val="26"/>
              </w:rPr>
              <w:t xml:space="preserve"> </w:t>
            </w:r>
            <w:r w:rsidRPr="00852360">
              <w:rPr>
                <w:rFonts w:ascii="Times New Roman" w:eastAsia="Times New Roman" w:hAnsi="Times New Roman"/>
                <w:bCs w:val="0"/>
                <w:color w:val="000000"/>
                <w:sz w:val="26"/>
                <w:szCs w:val="26"/>
              </w:rPr>
              <w:t xml:space="preserve">do Bộ Xây dựng là cơ quan chủ trì tính toán, công bố chỉ số </w:t>
            </w:r>
            <w:r>
              <w:rPr>
                <w:rFonts w:ascii="Times New Roman" w:eastAsia="Times New Roman" w:hAnsi="Times New Roman"/>
                <w:bCs w:val="0"/>
                <w:color w:val="000000"/>
                <w:sz w:val="26"/>
                <w:szCs w:val="26"/>
              </w:rPr>
              <w:t>giá xây dựng theo L</w:t>
            </w:r>
            <w:r w:rsidRPr="00852360">
              <w:rPr>
                <w:rFonts w:ascii="Times New Roman" w:eastAsia="Times New Roman" w:hAnsi="Times New Roman"/>
                <w:bCs w:val="0"/>
                <w:color w:val="000000"/>
                <w:sz w:val="26"/>
                <w:szCs w:val="26"/>
              </w:rPr>
              <w:t>uật Xây dựng</w:t>
            </w:r>
          </w:p>
        </w:tc>
      </w:tr>
      <w:tr w:rsidR="00E714A8" w:rsidRPr="00852360" w:rsidTr="00847470">
        <w:trPr>
          <w:trHeight w:val="79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126</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1107</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giá bất động sản</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Xây dựng</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98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127</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1108</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giá tiền lương</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Tài chính, Bộ Nội vụ; Bộ Lao động - Thương binh và Xã hội</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sidR="00847470">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B56EB1" w:rsidP="00B56EB1">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xml:space="preserve">Giữ nguyên tên chỉ tiêu nhưng </w:t>
            </w:r>
            <w:r w:rsidR="00C3452F">
              <w:rPr>
                <w:rFonts w:ascii="Times New Roman" w:eastAsia="Times New Roman" w:hAnsi="Times New Roman"/>
                <w:bCs w:val="0"/>
                <w:sz w:val="26"/>
                <w:szCs w:val="26"/>
              </w:rPr>
              <w:t xml:space="preserve">TCTK đề xuất </w:t>
            </w:r>
            <w:r>
              <w:rPr>
                <w:rFonts w:ascii="Times New Roman" w:eastAsia="Times New Roman" w:hAnsi="Times New Roman"/>
                <w:bCs w:val="0"/>
                <w:sz w:val="26"/>
                <w:szCs w:val="26"/>
              </w:rPr>
              <w:t>b</w:t>
            </w:r>
            <w:r w:rsidR="00E714A8" w:rsidRPr="00852360">
              <w:rPr>
                <w:rFonts w:ascii="Times New Roman" w:eastAsia="Times New Roman" w:hAnsi="Times New Roman"/>
                <w:bCs w:val="0"/>
                <w:sz w:val="26"/>
                <w:szCs w:val="26"/>
              </w:rPr>
              <w:t>ổ sung cơ quan phối hợp thực hiện cho phù hợp với thực tiễn và đảm bảo hiệu quả chung</w:t>
            </w: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128</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1109</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giá xuất khẩu, nhập khẩu</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Tài chính</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129</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1110</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i/>
                <w:iCs/>
                <w:sz w:val="26"/>
                <w:szCs w:val="26"/>
              </w:rPr>
            </w:pPr>
            <w:r w:rsidRPr="00852360">
              <w:rPr>
                <w:rFonts w:ascii="Times New Roman" w:eastAsia="Times New Roman" w:hAnsi="Times New Roman"/>
                <w:bCs w:val="0"/>
                <w:sz w:val="26"/>
                <w:szCs w:val="26"/>
              </w:rPr>
              <w:t>Tỷ giá thương mại</w:t>
            </w:r>
          </w:p>
        </w:tc>
        <w:tc>
          <w:tcPr>
            <w:tcW w:w="2410" w:type="dxa"/>
            <w:shd w:val="clear" w:color="auto" w:fill="auto"/>
            <w:vAlign w:val="center"/>
            <w:hideMark/>
          </w:tcPr>
          <w:p w:rsidR="00E714A8"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Tài chính</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chính đề xuất sửa tên chỉ tiêu thành "Tỷ lệ trao đổi thương mại quốc tế" tuy nhiên Tổng cục Thống kê cho rằng nên giữ nguyên tên chỉ tiêu vì nội hàm chỉ tiêu  không thay đổi</w:t>
            </w:r>
          </w:p>
        </w:tc>
      </w:tr>
      <w:tr w:rsidR="00E714A8" w:rsidRPr="00852360" w:rsidTr="00611F6C">
        <w:trPr>
          <w:trHeight w:val="375"/>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12. Giao thông vận tải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130</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1201</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Doanh thu vận tải, kho bãi và dịch vụ hỗ trợ vận tải</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131</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1202</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lượt hành khách vận chuyển và luân chuyển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132</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1203</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Khối lượng hàng hóa vận chuyển và luân chuyển</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133</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1204</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Khối lượng hàng hóa thông qua cảng</w:t>
            </w:r>
          </w:p>
        </w:tc>
        <w:tc>
          <w:tcPr>
            <w:tcW w:w="2410" w:type="dxa"/>
            <w:shd w:val="clear" w:color="auto" w:fill="auto"/>
            <w:vAlign w:val="center"/>
            <w:hideMark/>
          </w:tcPr>
          <w:p w:rsidR="00E714A8" w:rsidRPr="003169EC" w:rsidRDefault="00E714A8" w:rsidP="00CB6527">
            <w:pPr>
              <w:spacing w:before="100" w:after="100" w:line="240" w:lineRule="auto"/>
              <w:jc w:val="both"/>
              <w:rPr>
                <w:rFonts w:ascii="Times New Roman" w:eastAsia="Times New Roman" w:hAnsi="Times New Roman"/>
                <w:bCs w:val="0"/>
                <w:spacing w:val="-2"/>
                <w:sz w:val="26"/>
                <w:szCs w:val="26"/>
              </w:rPr>
            </w:pPr>
            <w:r w:rsidRPr="003169EC">
              <w:rPr>
                <w:rFonts w:ascii="Times New Roman" w:eastAsia="Times New Roman" w:hAnsi="Times New Roman"/>
                <w:bCs w:val="0"/>
                <w:spacing w:val="-2"/>
                <w:sz w:val="26"/>
                <w:szCs w:val="26"/>
              </w:rPr>
              <w:t>Bộ Giao thông vận tải</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0E30F4">
        <w:trPr>
          <w:trHeight w:val="648"/>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134</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1205</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Số lượng, năng lực bốc xếp hiện có và mới </w:t>
            </w:r>
            <w:r w:rsidRPr="00852360">
              <w:rPr>
                <w:rFonts w:ascii="Times New Roman" w:eastAsia="Times New Roman" w:hAnsi="Times New Roman"/>
                <w:bCs w:val="0"/>
                <w:sz w:val="26"/>
                <w:szCs w:val="26"/>
              </w:rPr>
              <w:lastRenderedPageBreak/>
              <w:t>tăng của cảng thủy nội địa</w:t>
            </w:r>
          </w:p>
        </w:tc>
        <w:tc>
          <w:tcPr>
            <w:tcW w:w="2410" w:type="dxa"/>
            <w:shd w:val="clear" w:color="auto" w:fill="auto"/>
            <w:vAlign w:val="center"/>
            <w:hideMark/>
          </w:tcPr>
          <w:p w:rsidR="00E714A8" w:rsidRPr="00852360" w:rsidRDefault="003169EC" w:rsidP="00CB6527">
            <w:pPr>
              <w:spacing w:before="100" w:after="100" w:line="240" w:lineRule="auto"/>
              <w:jc w:val="both"/>
              <w:rPr>
                <w:rFonts w:ascii="Times New Roman" w:eastAsia="Times New Roman" w:hAnsi="Times New Roman"/>
                <w:bCs w:val="0"/>
                <w:sz w:val="26"/>
                <w:szCs w:val="26"/>
              </w:rPr>
            </w:pPr>
            <w:r w:rsidRPr="003169EC">
              <w:rPr>
                <w:rFonts w:ascii="Times New Roman" w:eastAsia="Times New Roman" w:hAnsi="Times New Roman"/>
                <w:bCs w:val="0"/>
                <w:spacing w:val="-2"/>
                <w:sz w:val="26"/>
                <w:szCs w:val="26"/>
              </w:rPr>
              <w:lastRenderedPageBreak/>
              <w:t>Bộ Giao thông vận tải</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3169EC">
        <w:trPr>
          <w:trHeight w:val="649"/>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135</w:t>
            </w:r>
          </w:p>
        </w:tc>
        <w:tc>
          <w:tcPr>
            <w:tcW w:w="949" w:type="dxa"/>
            <w:vAlign w:val="center"/>
          </w:tcPr>
          <w:p w:rsidR="00E714A8" w:rsidRPr="00852360" w:rsidRDefault="00205A77" w:rsidP="00611F6C">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1206</w:t>
            </w: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S</w:t>
            </w:r>
            <w:r w:rsidRPr="00852360">
              <w:rPr>
                <w:rFonts w:ascii="Times New Roman" w:eastAsia="Times New Roman" w:hAnsi="Times New Roman"/>
                <w:bCs w:val="0"/>
                <w:strike/>
                <w:sz w:val="26"/>
                <w:szCs w:val="26"/>
              </w:rPr>
              <w:t>ố lượng, năng lực vận chuyển hiện có và mới tăng của cảng hàng không</w:t>
            </w:r>
            <w:r w:rsidRPr="00852360">
              <w:rPr>
                <w:rFonts w:ascii="Times New Roman" w:eastAsia="Times New Roman" w:hAnsi="Times New Roman"/>
                <w:bCs w:val="0"/>
                <w:i/>
                <w:iCs/>
                <w:sz w:val="26"/>
                <w:szCs w:val="26"/>
              </w:rPr>
              <w:br/>
            </w:r>
            <w:r w:rsidRPr="00852360">
              <w:rPr>
                <w:rFonts w:ascii="Times New Roman" w:eastAsia="Times New Roman" w:hAnsi="Times New Roman"/>
                <w:bCs w:val="0"/>
                <w:sz w:val="26"/>
                <w:szCs w:val="26"/>
              </w:rPr>
              <w:t>Số lượng, năng lực khai thác hiện có và mới tăng của cảng hàng không</w:t>
            </w:r>
          </w:p>
        </w:tc>
        <w:tc>
          <w:tcPr>
            <w:tcW w:w="2410" w:type="dxa"/>
            <w:shd w:val="clear" w:color="auto" w:fill="auto"/>
            <w:vAlign w:val="center"/>
            <w:hideMark/>
          </w:tcPr>
          <w:p w:rsidR="00E714A8" w:rsidRPr="00852360" w:rsidRDefault="003169EC" w:rsidP="00CB6527">
            <w:pPr>
              <w:spacing w:before="100" w:after="100" w:line="240" w:lineRule="auto"/>
              <w:jc w:val="both"/>
              <w:rPr>
                <w:rFonts w:ascii="Times New Roman" w:eastAsia="Times New Roman" w:hAnsi="Times New Roman"/>
                <w:bCs w:val="0"/>
                <w:sz w:val="26"/>
                <w:szCs w:val="26"/>
              </w:rPr>
            </w:pPr>
            <w:r w:rsidRPr="003169EC">
              <w:rPr>
                <w:rFonts w:ascii="Times New Roman" w:eastAsia="Times New Roman" w:hAnsi="Times New Roman"/>
                <w:bCs w:val="0"/>
                <w:spacing w:val="-2"/>
                <w:sz w:val="26"/>
                <w:szCs w:val="26"/>
              </w:rPr>
              <w:t>Bộ Giao thông vận tải</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Giao thông vận tải</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tình hình thực tế</w:t>
            </w:r>
          </w:p>
        </w:tc>
      </w:tr>
      <w:tr w:rsidR="00E714A8" w:rsidRPr="00852360" w:rsidTr="003169EC">
        <w:trPr>
          <w:trHeight w:val="1116"/>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136</w:t>
            </w: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lượng, năng lực bốc xếp hiện có và mới tăng của cảng biển</w:t>
            </w:r>
          </w:p>
        </w:tc>
        <w:tc>
          <w:tcPr>
            <w:tcW w:w="2410" w:type="dxa"/>
            <w:shd w:val="clear" w:color="auto" w:fill="auto"/>
            <w:vAlign w:val="center"/>
            <w:hideMark/>
          </w:tcPr>
          <w:p w:rsidR="00E714A8" w:rsidRPr="00852360" w:rsidRDefault="003169EC" w:rsidP="00CB6527">
            <w:pPr>
              <w:spacing w:before="100" w:after="100" w:line="240" w:lineRule="auto"/>
              <w:jc w:val="both"/>
              <w:rPr>
                <w:rFonts w:ascii="Times New Roman" w:eastAsia="Times New Roman" w:hAnsi="Times New Roman"/>
                <w:bCs w:val="0"/>
                <w:sz w:val="26"/>
                <w:szCs w:val="26"/>
              </w:rPr>
            </w:pPr>
            <w:r w:rsidRPr="003169EC">
              <w:rPr>
                <w:rFonts w:ascii="Times New Roman" w:eastAsia="Times New Roman" w:hAnsi="Times New Roman"/>
                <w:bCs w:val="0"/>
                <w:spacing w:val="-2"/>
                <w:sz w:val="26"/>
                <w:szCs w:val="26"/>
              </w:rPr>
              <w:t>Bộ Giao thông vận tải</w:t>
            </w: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Giao thông vận tải</w:t>
            </w: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3169EC" w:rsidP="00CB652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H</w:t>
            </w:r>
            <w:r w:rsidR="00E714A8" w:rsidRPr="00852360">
              <w:rPr>
                <w:rFonts w:ascii="Times New Roman" w:eastAsia="Times New Roman" w:hAnsi="Times New Roman"/>
                <w:bCs w:val="0"/>
                <w:sz w:val="26"/>
                <w:szCs w:val="26"/>
              </w:rPr>
              <w:t>oàn thiện các chỉ tiêu về kết cấu hạ tầng giao thông trong hệ thống chỉ tiêu thống kê quốc gia</w:t>
            </w:r>
          </w:p>
        </w:tc>
      </w:tr>
      <w:tr w:rsidR="003169EC" w:rsidRPr="00852360" w:rsidTr="003169EC">
        <w:trPr>
          <w:trHeight w:val="1228"/>
          <w:jc w:val="center"/>
        </w:trPr>
        <w:tc>
          <w:tcPr>
            <w:tcW w:w="704" w:type="dxa"/>
            <w:shd w:val="clear" w:color="auto" w:fill="auto"/>
            <w:noWrap/>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137</w:t>
            </w:r>
          </w:p>
        </w:tc>
        <w:tc>
          <w:tcPr>
            <w:tcW w:w="949" w:type="dxa"/>
            <w:vAlign w:val="center"/>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3169EC" w:rsidRPr="00852360" w:rsidRDefault="003169EC" w:rsidP="003169EC">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Chiều dài đường sắt hiện có và năng lực tăng thêm</w:t>
            </w:r>
          </w:p>
        </w:tc>
        <w:tc>
          <w:tcPr>
            <w:tcW w:w="2410" w:type="dxa"/>
            <w:shd w:val="clear" w:color="auto" w:fill="auto"/>
            <w:vAlign w:val="center"/>
            <w:hideMark/>
          </w:tcPr>
          <w:p w:rsidR="003169EC" w:rsidRPr="00852360" w:rsidRDefault="003169EC" w:rsidP="003169EC">
            <w:pPr>
              <w:spacing w:before="100" w:after="100" w:line="240" w:lineRule="auto"/>
              <w:jc w:val="both"/>
              <w:rPr>
                <w:rFonts w:ascii="Times New Roman" w:eastAsia="Times New Roman" w:hAnsi="Times New Roman"/>
                <w:bCs w:val="0"/>
                <w:sz w:val="26"/>
                <w:szCs w:val="26"/>
              </w:rPr>
            </w:pPr>
            <w:r w:rsidRPr="003169EC">
              <w:rPr>
                <w:rFonts w:ascii="Times New Roman" w:eastAsia="Times New Roman" w:hAnsi="Times New Roman"/>
                <w:bCs w:val="0"/>
                <w:spacing w:val="-2"/>
                <w:sz w:val="26"/>
                <w:szCs w:val="26"/>
              </w:rPr>
              <w:t>Bộ Giao thông vận tải</w:t>
            </w:r>
          </w:p>
        </w:tc>
        <w:tc>
          <w:tcPr>
            <w:tcW w:w="1984"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Giao thông vận tải</w:t>
            </w:r>
          </w:p>
        </w:tc>
        <w:tc>
          <w:tcPr>
            <w:tcW w:w="1026"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3169EC" w:rsidRPr="00852360" w:rsidRDefault="003169EC" w:rsidP="003169EC">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H</w:t>
            </w:r>
            <w:r w:rsidRPr="00852360">
              <w:rPr>
                <w:rFonts w:ascii="Times New Roman" w:eastAsia="Times New Roman" w:hAnsi="Times New Roman"/>
                <w:bCs w:val="0"/>
                <w:sz w:val="26"/>
                <w:szCs w:val="26"/>
              </w:rPr>
              <w:t>oàn thiện các chỉ tiêu về kết cấu hạ tầng giao thông trong hệ thống chỉ tiêu thống kê quốc gia</w:t>
            </w:r>
          </w:p>
        </w:tc>
      </w:tr>
      <w:tr w:rsidR="003169EC" w:rsidRPr="00852360" w:rsidTr="003169EC">
        <w:trPr>
          <w:trHeight w:val="1118"/>
          <w:jc w:val="center"/>
        </w:trPr>
        <w:tc>
          <w:tcPr>
            <w:tcW w:w="704" w:type="dxa"/>
            <w:shd w:val="clear" w:color="auto" w:fill="auto"/>
            <w:noWrap/>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138</w:t>
            </w:r>
          </w:p>
        </w:tc>
        <w:tc>
          <w:tcPr>
            <w:tcW w:w="949" w:type="dxa"/>
            <w:vAlign w:val="center"/>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2595" w:type="dxa"/>
            <w:shd w:val="clear" w:color="auto" w:fill="auto"/>
            <w:noWrap/>
            <w:vAlign w:val="center"/>
            <w:hideMark/>
          </w:tcPr>
          <w:p w:rsidR="003169EC" w:rsidRPr="0018323F" w:rsidRDefault="003169EC" w:rsidP="003169EC">
            <w:pPr>
              <w:spacing w:before="100" w:after="100" w:line="240" w:lineRule="auto"/>
              <w:jc w:val="both"/>
              <w:rPr>
                <w:rFonts w:ascii="Times New Roman" w:eastAsia="Times New Roman" w:hAnsi="Times New Roman"/>
                <w:bCs w:val="0"/>
                <w:sz w:val="26"/>
                <w:szCs w:val="26"/>
              </w:rPr>
            </w:pPr>
            <w:r w:rsidRPr="0018323F">
              <w:rPr>
                <w:rFonts w:ascii="Times New Roman" w:eastAsia="Times New Roman" w:hAnsi="Times New Roman"/>
                <w:bCs w:val="0"/>
                <w:sz w:val="26"/>
                <w:szCs w:val="26"/>
              </w:rPr>
              <w:t>Chiều dài đường cao tốc</w:t>
            </w:r>
          </w:p>
        </w:tc>
        <w:tc>
          <w:tcPr>
            <w:tcW w:w="2410" w:type="dxa"/>
            <w:shd w:val="clear" w:color="auto" w:fill="auto"/>
            <w:vAlign w:val="center"/>
            <w:hideMark/>
          </w:tcPr>
          <w:p w:rsidR="003169EC" w:rsidRPr="00852360" w:rsidRDefault="003169EC" w:rsidP="003169EC">
            <w:pPr>
              <w:spacing w:before="100" w:after="100" w:line="240" w:lineRule="auto"/>
              <w:jc w:val="both"/>
              <w:rPr>
                <w:rFonts w:ascii="Times New Roman" w:eastAsia="Times New Roman" w:hAnsi="Times New Roman"/>
                <w:bCs w:val="0"/>
                <w:sz w:val="26"/>
                <w:szCs w:val="26"/>
              </w:rPr>
            </w:pPr>
            <w:r w:rsidRPr="003169EC">
              <w:rPr>
                <w:rFonts w:ascii="Times New Roman" w:eastAsia="Times New Roman" w:hAnsi="Times New Roman"/>
                <w:bCs w:val="0"/>
                <w:spacing w:val="-2"/>
                <w:sz w:val="26"/>
                <w:szCs w:val="26"/>
              </w:rPr>
              <w:t>Bộ Giao thông vận tải</w:t>
            </w:r>
          </w:p>
        </w:tc>
        <w:tc>
          <w:tcPr>
            <w:tcW w:w="1984"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Giao thông vận tải</w:t>
            </w:r>
          </w:p>
        </w:tc>
        <w:tc>
          <w:tcPr>
            <w:tcW w:w="1026"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3169EC" w:rsidRPr="00852360" w:rsidRDefault="003169EC" w:rsidP="003169EC">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H</w:t>
            </w:r>
            <w:r w:rsidRPr="00852360">
              <w:rPr>
                <w:rFonts w:ascii="Times New Roman" w:eastAsia="Times New Roman" w:hAnsi="Times New Roman"/>
                <w:bCs w:val="0"/>
                <w:sz w:val="26"/>
                <w:szCs w:val="26"/>
              </w:rPr>
              <w:t>oàn thiện các chỉ tiêu về kết cấu hạ tầng giao thông trong hệ thống chỉ tiêu thống kê quốc gia</w:t>
            </w:r>
          </w:p>
        </w:tc>
      </w:tr>
      <w:tr w:rsidR="003169EC" w:rsidRPr="00852360" w:rsidTr="003169EC">
        <w:trPr>
          <w:trHeight w:val="1262"/>
          <w:jc w:val="center"/>
        </w:trPr>
        <w:tc>
          <w:tcPr>
            <w:tcW w:w="704" w:type="dxa"/>
            <w:shd w:val="clear" w:color="auto" w:fill="auto"/>
            <w:noWrap/>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139</w:t>
            </w:r>
          </w:p>
        </w:tc>
        <w:tc>
          <w:tcPr>
            <w:tcW w:w="949" w:type="dxa"/>
            <w:vAlign w:val="center"/>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2595" w:type="dxa"/>
            <w:shd w:val="clear" w:color="auto" w:fill="auto"/>
            <w:noWrap/>
            <w:vAlign w:val="center"/>
            <w:hideMark/>
          </w:tcPr>
          <w:p w:rsidR="003169EC" w:rsidRPr="00852360" w:rsidRDefault="003169EC" w:rsidP="003169EC">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Chiều dài đường quốc lộ</w:t>
            </w:r>
          </w:p>
        </w:tc>
        <w:tc>
          <w:tcPr>
            <w:tcW w:w="2410" w:type="dxa"/>
            <w:shd w:val="clear" w:color="auto" w:fill="auto"/>
            <w:vAlign w:val="center"/>
            <w:hideMark/>
          </w:tcPr>
          <w:p w:rsidR="003169EC" w:rsidRPr="00852360" w:rsidRDefault="003169EC" w:rsidP="003169EC">
            <w:pPr>
              <w:spacing w:before="100" w:after="100" w:line="240" w:lineRule="auto"/>
              <w:jc w:val="both"/>
              <w:rPr>
                <w:rFonts w:ascii="Times New Roman" w:eastAsia="Times New Roman" w:hAnsi="Times New Roman"/>
                <w:bCs w:val="0"/>
                <w:sz w:val="26"/>
                <w:szCs w:val="26"/>
              </w:rPr>
            </w:pPr>
            <w:r w:rsidRPr="003169EC">
              <w:rPr>
                <w:rFonts w:ascii="Times New Roman" w:eastAsia="Times New Roman" w:hAnsi="Times New Roman"/>
                <w:bCs w:val="0"/>
                <w:spacing w:val="-2"/>
                <w:sz w:val="26"/>
                <w:szCs w:val="26"/>
              </w:rPr>
              <w:t>Bộ Giao thông vận tải</w:t>
            </w:r>
          </w:p>
        </w:tc>
        <w:tc>
          <w:tcPr>
            <w:tcW w:w="1984"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Giao thông vận tải</w:t>
            </w:r>
          </w:p>
        </w:tc>
        <w:tc>
          <w:tcPr>
            <w:tcW w:w="1026"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3169EC" w:rsidRPr="00852360" w:rsidRDefault="003169EC" w:rsidP="003169EC">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3169EC" w:rsidRPr="00852360" w:rsidRDefault="003169EC" w:rsidP="003169EC">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H</w:t>
            </w:r>
            <w:r w:rsidRPr="00852360">
              <w:rPr>
                <w:rFonts w:ascii="Times New Roman" w:eastAsia="Times New Roman" w:hAnsi="Times New Roman"/>
                <w:bCs w:val="0"/>
                <w:sz w:val="26"/>
                <w:szCs w:val="26"/>
              </w:rPr>
              <w:t>oàn thiện các chỉ tiêu về kết cấu hạ tầng giao thông trong hệ thống chỉ tiêu thống kê quốc gia</w:t>
            </w:r>
          </w:p>
        </w:tc>
      </w:tr>
      <w:tr w:rsidR="00E714A8" w:rsidRPr="00852360" w:rsidTr="00611F6C">
        <w:trPr>
          <w:trHeight w:val="660"/>
          <w:jc w:val="center"/>
        </w:trPr>
        <w:tc>
          <w:tcPr>
            <w:tcW w:w="704" w:type="dxa"/>
            <w:shd w:val="clear" w:color="auto" w:fill="auto"/>
            <w:noWrap/>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949" w:type="dxa"/>
            <w:vAlign w:val="center"/>
          </w:tcPr>
          <w:p w:rsidR="00E714A8" w:rsidRPr="00852360" w:rsidRDefault="00E714A8" w:rsidP="00611F6C">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13. Công nghệ thông tin và truyền thông</w:t>
            </w:r>
          </w:p>
        </w:tc>
        <w:tc>
          <w:tcPr>
            <w:tcW w:w="2410"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CB652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CB6527">
            <w:pPr>
              <w:spacing w:before="100" w:after="100" w:line="240" w:lineRule="auto"/>
              <w:jc w:val="both"/>
              <w:rPr>
                <w:rFonts w:ascii="Times New Roman" w:eastAsia="Times New Roman" w:hAnsi="Times New Roman"/>
                <w:bCs w:val="0"/>
                <w:sz w:val="26"/>
                <w:szCs w:val="26"/>
              </w:rPr>
            </w:pP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140</w:t>
            </w:r>
          </w:p>
        </w:tc>
        <w:tc>
          <w:tcPr>
            <w:tcW w:w="949" w:type="dxa"/>
            <w:vAlign w:val="center"/>
          </w:tcPr>
          <w:p w:rsidR="00E714A8" w:rsidRPr="00205A77" w:rsidRDefault="00205A77" w:rsidP="00437E49">
            <w:pPr>
              <w:spacing w:before="60" w:after="6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1301</w:t>
            </w:r>
          </w:p>
        </w:tc>
        <w:tc>
          <w:tcPr>
            <w:tcW w:w="2595" w:type="dxa"/>
            <w:shd w:val="clear" w:color="auto" w:fill="auto"/>
            <w:vAlign w:val="center"/>
            <w:hideMark/>
          </w:tcPr>
          <w:p w:rsidR="00E714A8" w:rsidRDefault="00E714A8" w:rsidP="00437E49">
            <w:pPr>
              <w:spacing w:before="60" w:after="6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Doanh thu bưu chính, chuyển phát</w:t>
            </w:r>
          </w:p>
          <w:p w:rsidR="00E714A8" w:rsidRPr="00852360" w:rsidRDefault="00E714A8" w:rsidP="00437E49">
            <w:pPr>
              <w:spacing w:before="60" w:after="6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z w:val="26"/>
                <w:szCs w:val="26"/>
              </w:rPr>
              <w:t>Doanh thu dịch vụ bưu chính</w:t>
            </w:r>
          </w:p>
        </w:tc>
        <w:tc>
          <w:tcPr>
            <w:tcW w:w="2410" w:type="dxa"/>
            <w:shd w:val="clear" w:color="auto" w:fill="auto"/>
            <w:vAlign w:val="center"/>
            <w:hideMark/>
          </w:tcPr>
          <w:p w:rsidR="00E714A8"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Thông tin và Truyền thông</w:t>
            </w:r>
          </w:p>
          <w:p w:rsidR="00E714A8" w:rsidRPr="00852360"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Tổng cục Thống kê</w:t>
            </w:r>
          </w:p>
        </w:tc>
        <w:tc>
          <w:tcPr>
            <w:tcW w:w="1984"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văn bản pháp luật chuyên ngành</w:t>
            </w: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141</w:t>
            </w:r>
          </w:p>
        </w:tc>
        <w:tc>
          <w:tcPr>
            <w:tcW w:w="949" w:type="dxa"/>
            <w:vAlign w:val="center"/>
          </w:tcPr>
          <w:p w:rsidR="00E714A8" w:rsidRPr="00852360" w:rsidRDefault="00205A77" w:rsidP="00437E49">
            <w:pPr>
              <w:spacing w:before="60" w:after="6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1302</w:t>
            </w:r>
          </w:p>
        </w:tc>
        <w:tc>
          <w:tcPr>
            <w:tcW w:w="2595" w:type="dxa"/>
            <w:shd w:val="clear" w:color="auto" w:fill="auto"/>
            <w:vAlign w:val="center"/>
            <w:hideMark/>
          </w:tcPr>
          <w:p w:rsidR="00E714A8" w:rsidRDefault="00E714A8" w:rsidP="00437E49">
            <w:pPr>
              <w:spacing w:before="60" w:after="6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z w:val="26"/>
                <w:szCs w:val="26"/>
              </w:rPr>
              <w:t>S</w:t>
            </w:r>
            <w:r w:rsidRPr="00852360">
              <w:rPr>
                <w:rFonts w:ascii="Times New Roman" w:eastAsia="Times New Roman" w:hAnsi="Times New Roman"/>
                <w:bCs w:val="0"/>
                <w:strike/>
                <w:sz w:val="26"/>
                <w:szCs w:val="26"/>
              </w:rPr>
              <w:t>ản lượng bưu chính, chuyển phát</w:t>
            </w:r>
          </w:p>
          <w:p w:rsidR="00E714A8" w:rsidRPr="00852360" w:rsidRDefault="00E714A8" w:rsidP="00437E49">
            <w:pPr>
              <w:spacing w:before="60" w:after="6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Sản lượng dịch vụ bưu chính</w:t>
            </w:r>
          </w:p>
        </w:tc>
        <w:tc>
          <w:tcPr>
            <w:tcW w:w="2410" w:type="dxa"/>
            <w:shd w:val="clear" w:color="auto" w:fill="auto"/>
            <w:vAlign w:val="center"/>
            <w:hideMark/>
          </w:tcPr>
          <w:p w:rsidR="00E714A8"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Thông tin và Truyền thông</w:t>
            </w:r>
          </w:p>
          <w:p w:rsidR="00E714A8" w:rsidRPr="00852360"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 - Phối hợp: Tổng cục Thống kê</w:t>
            </w:r>
          </w:p>
        </w:tc>
        <w:tc>
          <w:tcPr>
            <w:tcW w:w="1984"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văn bản pháp luật chuyên ngành</w:t>
            </w:r>
          </w:p>
        </w:tc>
      </w:tr>
      <w:tr w:rsidR="00E714A8" w:rsidRPr="00852360" w:rsidTr="00611F6C">
        <w:trPr>
          <w:trHeight w:val="1650"/>
          <w:jc w:val="center"/>
        </w:trPr>
        <w:tc>
          <w:tcPr>
            <w:tcW w:w="704" w:type="dxa"/>
            <w:shd w:val="clear" w:color="auto" w:fill="auto"/>
            <w:noWrap/>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142</w:t>
            </w:r>
          </w:p>
        </w:tc>
        <w:tc>
          <w:tcPr>
            <w:tcW w:w="949" w:type="dxa"/>
            <w:vAlign w:val="center"/>
          </w:tcPr>
          <w:p w:rsidR="00E714A8" w:rsidRPr="00205A77" w:rsidRDefault="00205A77" w:rsidP="00437E49">
            <w:pPr>
              <w:spacing w:before="60" w:after="6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1303</w:t>
            </w:r>
          </w:p>
        </w:tc>
        <w:tc>
          <w:tcPr>
            <w:tcW w:w="2595" w:type="dxa"/>
            <w:shd w:val="clear" w:color="auto" w:fill="auto"/>
            <w:vAlign w:val="center"/>
            <w:hideMark/>
          </w:tcPr>
          <w:p w:rsidR="00E714A8" w:rsidRDefault="00E714A8" w:rsidP="00437E49">
            <w:pPr>
              <w:spacing w:before="60" w:after="6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Doanh thu viễn thông</w:t>
            </w:r>
          </w:p>
          <w:p w:rsidR="00E714A8" w:rsidRPr="00852360" w:rsidRDefault="00E714A8" w:rsidP="00437E49">
            <w:pPr>
              <w:spacing w:before="60" w:after="6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Doanh thu dịch vụ viễn thông</w:t>
            </w:r>
          </w:p>
        </w:tc>
        <w:tc>
          <w:tcPr>
            <w:tcW w:w="2410" w:type="dxa"/>
            <w:shd w:val="clear" w:color="auto" w:fill="auto"/>
            <w:vAlign w:val="center"/>
            <w:hideMark/>
          </w:tcPr>
          <w:p w:rsidR="00E714A8"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Thông tin và Truyền thông</w:t>
            </w:r>
          </w:p>
          <w:p w:rsidR="00E714A8" w:rsidRPr="00852360"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Tổng cục Thống kê</w:t>
            </w:r>
          </w:p>
        </w:tc>
        <w:tc>
          <w:tcPr>
            <w:tcW w:w="1984"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văn bản pháp luật chuyên ngành</w:t>
            </w:r>
          </w:p>
        </w:tc>
      </w:tr>
      <w:tr w:rsidR="00E714A8" w:rsidRPr="00852360" w:rsidTr="00611F6C">
        <w:trPr>
          <w:trHeight w:val="1320"/>
          <w:jc w:val="center"/>
        </w:trPr>
        <w:tc>
          <w:tcPr>
            <w:tcW w:w="704" w:type="dxa"/>
            <w:shd w:val="clear" w:color="auto" w:fill="auto"/>
            <w:noWrap/>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143</w:t>
            </w:r>
          </w:p>
        </w:tc>
        <w:tc>
          <w:tcPr>
            <w:tcW w:w="949" w:type="dxa"/>
            <w:vAlign w:val="center"/>
          </w:tcPr>
          <w:p w:rsidR="00E714A8" w:rsidRPr="00852360" w:rsidRDefault="00205A77" w:rsidP="00437E49">
            <w:pPr>
              <w:spacing w:before="60" w:after="6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1304</w:t>
            </w:r>
          </w:p>
        </w:tc>
        <w:tc>
          <w:tcPr>
            <w:tcW w:w="2595" w:type="dxa"/>
            <w:shd w:val="clear" w:color="auto" w:fill="auto"/>
            <w:vAlign w:val="center"/>
            <w:hideMark/>
          </w:tcPr>
          <w:p w:rsidR="00E714A8" w:rsidRPr="00852360"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lượng thuê bao điện thoại</w:t>
            </w:r>
          </w:p>
        </w:tc>
        <w:tc>
          <w:tcPr>
            <w:tcW w:w="2410" w:type="dxa"/>
            <w:shd w:val="clear" w:color="auto" w:fill="auto"/>
            <w:vAlign w:val="center"/>
            <w:hideMark/>
          </w:tcPr>
          <w:p w:rsidR="00E714A8"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Thông tin và Truyền thông</w:t>
            </w:r>
          </w:p>
          <w:p w:rsidR="00E714A8" w:rsidRPr="00852360"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Tổng cục Thống kê</w:t>
            </w:r>
          </w:p>
        </w:tc>
        <w:tc>
          <w:tcPr>
            <w:tcW w:w="1984"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E714A8" w:rsidRPr="00852360" w:rsidRDefault="00E714A8" w:rsidP="00437E49">
            <w:pPr>
              <w:spacing w:before="60" w:after="60" w:line="240" w:lineRule="auto"/>
              <w:jc w:val="both"/>
              <w:rPr>
                <w:rFonts w:ascii="Times New Roman" w:eastAsia="Times New Roman" w:hAnsi="Times New Roman"/>
                <w:bCs w:val="0"/>
                <w:sz w:val="26"/>
                <w:szCs w:val="26"/>
              </w:rPr>
            </w:pPr>
          </w:p>
        </w:tc>
      </w:tr>
      <w:tr w:rsidR="00E714A8" w:rsidRPr="00852360" w:rsidTr="00611F6C">
        <w:trPr>
          <w:trHeight w:val="2835"/>
          <w:jc w:val="center"/>
        </w:trPr>
        <w:tc>
          <w:tcPr>
            <w:tcW w:w="704" w:type="dxa"/>
            <w:shd w:val="clear" w:color="auto" w:fill="auto"/>
            <w:noWrap/>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144</w:t>
            </w:r>
          </w:p>
        </w:tc>
        <w:tc>
          <w:tcPr>
            <w:tcW w:w="949" w:type="dxa"/>
            <w:vAlign w:val="center"/>
          </w:tcPr>
          <w:p w:rsidR="00E714A8" w:rsidRPr="00852360" w:rsidRDefault="00205A77" w:rsidP="00437E49">
            <w:pPr>
              <w:spacing w:before="60" w:after="6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1305</w:t>
            </w:r>
          </w:p>
        </w:tc>
        <w:tc>
          <w:tcPr>
            <w:tcW w:w="2595" w:type="dxa"/>
            <w:shd w:val="clear" w:color="auto" w:fill="auto"/>
            <w:vAlign w:val="center"/>
            <w:hideMark/>
          </w:tcPr>
          <w:p w:rsidR="00E714A8" w:rsidRPr="00852360" w:rsidRDefault="00E714A8"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người sử dụng điện thoại di động</w:t>
            </w:r>
          </w:p>
        </w:tc>
        <w:tc>
          <w:tcPr>
            <w:tcW w:w="2410" w:type="dxa"/>
            <w:shd w:val="clear" w:color="auto" w:fill="auto"/>
            <w:vAlign w:val="center"/>
            <w:hideMark/>
          </w:tcPr>
          <w:p w:rsidR="00104F8A" w:rsidRPr="00104F8A" w:rsidRDefault="00104F8A" w:rsidP="00437E49">
            <w:pPr>
              <w:spacing w:before="60" w:after="60" w:line="240" w:lineRule="auto"/>
              <w:jc w:val="both"/>
              <w:rPr>
                <w:rFonts w:ascii="Times New Roman" w:eastAsia="Times New Roman" w:hAnsi="Times New Roman"/>
                <w:bCs w:val="0"/>
                <w:sz w:val="26"/>
                <w:szCs w:val="26"/>
              </w:rPr>
            </w:pPr>
            <w:r w:rsidRPr="00104F8A">
              <w:rPr>
                <w:rFonts w:ascii="Times New Roman" w:eastAsia="Times New Roman" w:hAnsi="Times New Roman"/>
                <w:bCs w:val="0"/>
                <w:sz w:val="26"/>
                <w:szCs w:val="26"/>
              </w:rPr>
              <w:t xml:space="preserve">- Chủ trì: </w:t>
            </w:r>
            <w:r w:rsidRPr="00104F8A">
              <w:rPr>
                <w:rFonts w:ascii="Times New Roman" w:eastAsia="Times New Roman" w:hAnsi="Times New Roman"/>
                <w:bCs w:val="0"/>
                <w:strike/>
                <w:sz w:val="26"/>
                <w:szCs w:val="26"/>
              </w:rPr>
              <w:t>Bộ Thông tin và Truyền thông</w:t>
            </w:r>
            <w:r w:rsidRPr="00104F8A">
              <w:rPr>
                <w:rFonts w:ascii="Times New Roman" w:eastAsia="Times New Roman" w:hAnsi="Times New Roman"/>
                <w:bCs w:val="0"/>
                <w:sz w:val="26"/>
                <w:szCs w:val="26"/>
              </w:rPr>
              <w:t xml:space="preserve"> Tổng cục Thống kê</w:t>
            </w:r>
          </w:p>
          <w:p w:rsidR="00E714A8" w:rsidRPr="00852360" w:rsidRDefault="00104F8A" w:rsidP="00437E49">
            <w:pPr>
              <w:spacing w:before="60" w:after="60" w:line="240" w:lineRule="auto"/>
              <w:jc w:val="both"/>
              <w:rPr>
                <w:rFonts w:ascii="Times New Roman" w:eastAsia="Times New Roman" w:hAnsi="Times New Roman"/>
                <w:bCs w:val="0"/>
                <w:sz w:val="26"/>
                <w:szCs w:val="26"/>
              </w:rPr>
            </w:pPr>
            <w:r w:rsidRPr="00104F8A">
              <w:rPr>
                <w:rFonts w:ascii="Times New Roman" w:eastAsia="Times New Roman" w:hAnsi="Times New Roman"/>
                <w:bCs w:val="0"/>
                <w:sz w:val="26"/>
                <w:szCs w:val="26"/>
              </w:rPr>
              <w:t xml:space="preserve">- Phối hợp: </w:t>
            </w:r>
            <w:r w:rsidRPr="00104F8A">
              <w:rPr>
                <w:rFonts w:ascii="Times New Roman" w:eastAsia="Times New Roman" w:hAnsi="Times New Roman"/>
                <w:bCs w:val="0"/>
                <w:strike/>
                <w:sz w:val="26"/>
                <w:szCs w:val="26"/>
              </w:rPr>
              <w:t xml:space="preserve">Tổng cục Thống kê </w:t>
            </w:r>
            <w:r w:rsidRPr="00104F8A">
              <w:rPr>
                <w:rFonts w:ascii="Times New Roman" w:eastAsia="Times New Roman" w:hAnsi="Times New Roman"/>
                <w:bCs w:val="0"/>
                <w:sz w:val="26"/>
                <w:szCs w:val="26"/>
              </w:rPr>
              <w:t>Bộ Thông tin và Truyền thông</w:t>
            </w:r>
          </w:p>
        </w:tc>
        <w:tc>
          <w:tcPr>
            <w:tcW w:w="1984"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E714A8" w:rsidRPr="00852360" w:rsidRDefault="00E714A8" w:rsidP="00437E49">
            <w:pPr>
              <w:spacing w:before="60" w:after="60" w:line="240" w:lineRule="auto"/>
              <w:jc w:val="center"/>
              <w:rPr>
                <w:rFonts w:ascii="Times New Roman" w:eastAsia="Times New Roman" w:hAnsi="Times New Roman"/>
                <w:bCs w:val="0"/>
                <w:sz w:val="26"/>
                <w:szCs w:val="26"/>
              </w:rPr>
            </w:pPr>
          </w:p>
        </w:tc>
        <w:tc>
          <w:tcPr>
            <w:tcW w:w="3685" w:type="dxa"/>
            <w:shd w:val="clear" w:color="auto" w:fill="auto"/>
            <w:vAlign w:val="center"/>
          </w:tcPr>
          <w:p w:rsidR="00E714A8" w:rsidRPr="00852360" w:rsidRDefault="00104F8A" w:rsidP="00437E49">
            <w:pPr>
              <w:spacing w:before="60" w:after="60" w:line="240" w:lineRule="auto"/>
              <w:jc w:val="both"/>
              <w:rPr>
                <w:rFonts w:ascii="Times New Roman" w:eastAsia="Times New Roman" w:hAnsi="Times New Roman"/>
                <w:bCs w:val="0"/>
                <w:sz w:val="26"/>
                <w:szCs w:val="26"/>
              </w:rPr>
            </w:pPr>
            <w:r w:rsidRPr="00104F8A">
              <w:rPr>
                <w:rFonts w:ascii="Times New Roman" w:eastAsia="Times New Roman" w:hAnsi="Times New Roman"/>
                <w:bCs w:val="0"/>
                <w:sz w:val="26"/>
                <w:szCs w:val="26"/>
              </w:rPr>
              <w:t>Giữ nguyên tên chỉ tiêu nhưng thay đổi cơ quan thực hiện cho phù hợp với thực tiễn và đảm bảo hiệu quả chung. Chỉ</w:t>
            </w:r>
            <w:r>
              <w:rPr>
                <w:rFonts w:ascii="Times New Roman" w:eastAsia="Times New Roman" w:hAnsi="Times New Roman"/>
                <w:bCs w:val="0"/>
                <w:sz w:val="26"/>
                <w:szCs w:val="26"/>
              </w:rPr>
              <w:t xml:space="preserve"> tiêu này thu thập qua điều tra thống kê </w:t>
            </w:r>
            <w:r w:rsidRPr="00104F8A">
              <w:rPr>
                <w:rFonts w:ascii="Times New Roman" w:eastAsia="Times New Roman" w:hAnsi="Times New Roman"/>
                <w:bCs w:val="0"/>
                <w:sz w:val="26"/>
                <w:szCs w:val="26"/>
              </w:rPr>
              <w:t>mới đảm bảo độ tin cậy và được công nhận rộng rãi ở trong và ngoài nước. Tổng cục Thống kê là cơ quan nhà nước có chuyên môn sâu và có khả năng tổ chức thực hiện các cuộc điều tra thống kê ở mọi quy mô</w:t>
            </w:r>
          </w:p>
        </w:tc>
      </w:tr>
      <w:tr w:rsidR="00011E9C" w:rsidRPr="00852360" w:rsidTr="00611F6C">
        <w:trPr>
          <w:trHeight w:val="649"/>
          <w:jc w:val="center"/>
        </w:trPr>
        <w:tc>
          <w:tcPr>
            <w:tcW w:w="704" w:type="dxa"/>
            <w:shd w:val="clear" w:color="auto" w:fill="auto"/>
            <w:noWrap/>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145</w:t>
            </w:r>
          </w:p>
        </w:tc>
        <w:tc>
          <w:tcPr>
            <w:tcW w:w="949" w:type="dxa"/>
            <w:vAlign w:val="center"/>
          </w:tcPr>
          <w:p w:rsidR="00011E9C" w:rsidRPr="00852360" w:rsidRDefault="00011E9C" w:rsidP="00437E49">
            <w:pPr>
              <w:spacing w:before="60" w:after="6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1306</w:t>
            </w:r>
          </w:p>
        </w:tc>
        <w:tc>
          <w:tcPr>
            <w:tcW w:w="2595" w:type="dxa"/>
            <w:shd w:val="clear" w:color="auto" w:fill="auto"/>
            <w:vAlign w:val="center"/>
            <w:hideMark/>
          </w:tcPr>
          <w:p w:rsidR="00011E9C" w:rsidRPr="00852360" w:rsidRDefault="00011E9C"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người sử dụng Internet</w:t>
            </w:r>
          </w:p>
        </w:tc>
        <w:tc>
          <w:tcPr>
            <w:tcW w:w="2410" w:type="dxa"/>
            <w:shd w:val="clear" w:color="auto" w:fill="auto"/>
            <w:vAlign w:val="center"/>
            <w:hideMark/>
          </w:tcPr>
          <w:p w:rsidR="00011E9C" w:rsidRPr="00083A23" w:rsidRDefault="00011E9C" w:rsidP="00437E49">
            <w:pPr>
              <w:spacing w:before="60" w:after="60" w:line="240" w:lineRule="auto"/>
              <w:jc w:val="both"/>
              <w:rPr>
                <w:rFonts w:ascii="Times New Roman" w:eastAsia="Times New Roman" w:hAnsi="Times New Roman"/>
                <w:bCs w:val="0"/>
                <w:sz w:val="26"/>
                <w:szCs w:val="26"/>
              </w:rPr>
            </w:pPr>
            <w:r w:rsidRPr="00083A23">
              <w:rPr>
                <w:rFonts w:ascii="Times New Roman" w:eastAsia="Times New Roman" w:hAnsi="Times New Roman"/>
                <w:bCs w:val="0"/>
                <w:sz w:val="26"/>
                <w:szCs w:val="26"/>
              </w:rPr>
              <w:t xml:space="preserve">- Chủ trì: </w:t>
            </w:r>
            <w:r w:rsidRPr="00083A23">
              <w:rPr>
                <w:rFonts w:ascii="Times New Roman" w:eastAsia="Times New Roman" w:hAnsi="Times New Roman"/>
                <w:bCs w:val="0"/>
                <w:strike/>
                <w:sz w:val="26"/>
                <w:szCs w:val="26"/>
              </w:rPr>
              <w:t>Bộ Thông tin và Truyền thông</w:t>
            </w:r>
            <w:r w:rsidRPr="00083A23">
              <w:rPr>
                <w:rFonts w:ascii="Times New Roman" w:eastAsia="Times New Roman" w:hAnsi="Times New Roman"/>
                <w:bCs w:val="0"/>
                <w:sz w:val="26"/>
                <w:szCs w:val="26"/>
              </w:rPr>
              <w:t xml:space="preserve"> Tổng cục Thống kê;</w:t>
            </w:r>
          </w:p>
          <w:p w:rsidR="00011E9C" w:rsidRPr="00852360" w:rsidRDefault="00011E9C" w:rsidP="00437E49">
            <w:pPr>
              <w:spacing w:before="60" w:after="60" w:line="240" w:lineRule="auto"/>
              <w:jc w:val="both"/>
              <w:rPr>
                <w:rFonts w:ascii="Times New Roman" w:eastAsia="Times New Roman" w:hAnsi="Times New Roman"/>
                <w:bCs w:val="0"/>
                <w:sz w:val="26"/>
                <w:szCs w:val="26"/>
              </w:rPr>
            </w:pPr>
            <w:r w:rsidRPr="00083A23">
              <w:rPr>
                <w:rFonts w:ascii="Times New Roman" w:eastAsia="Times New Roman" w:hAnsi="Times New Roman"/>
                <w:bCs w:val="0"/>
                <w:sz w:val="26"/>
                <w:szCs w:val="26"/>
              </w:rPr>
              <w:t xml:space="preserve">- Phối hợp: </w:t>
            </w:r>
            <w:r w:rsidRPr="00083A23">
              <w:rPr>
                <w:rFonts w:ascii="Times New Roman" w:eastAsia="Times New Roman" w:hAnsi="Times New Roman"/>
                <w:bCs w:val="0"/>
                <w:strike/>
                <w:sz w:val="26"/>
                <w:szCs w:val="26"/>
              </w:rPr>
              <w:t xml:space="preserve">Tổng cục Thống kê </w:t>
            </w:r>
            <w:r w:rsidRPr="00083A23">
              <w:rPr>
                <w:rFonts w:ascii="Times New Roman" w:eastAsia="Times New Roman" w:hAnsi="Times New Roman"/>
                <w:bCs w:val="0"/>
                <w:sz w:val="26"/>
                <w:szCs w:val="26"/>
              </w:rPr>
              <w:t>Bộ Thông tin và Truyền thông.</w:t>
            </w:r>
          </w:p>
        </w:tc>
        <w:tc>
          <w:tcPr>
            <w:tcW w:w="1984" w:type="dxa"/>
            <w:shd w:val="clear" w:color="auto" w:fill="auto"/>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p>
        </w:tc>
        <w:tc>
          <w:tcPr>
            <w:tcW w:w="3685" w:type="dxa"/>
            <w:shd w:val="clear" w:color="auto" w:fill="auto"/>
            <w:vAlign w:val="center"/>
          </w:tcPr>
          <w:p w:rsidR="00011E9C" w:rsidRPr="00852360" w:rsidRDefault="00011E9C" w:rsidP="00437E49">
            <w:pPr>
              <w:spacing w:before="60" w:after="60" w:line="240" w:lineRule="auto"/>
              <w:jc w:val="both"/>
              <w:rPr>
                <w:rFonts w:ascii="Times New Roman" w:eastAsia="Times New Roman" w:hAnsi="Times New Roman"/>
                <w:bCs w:val="0"/>
                <w:sz w:val="26"/>
                <w:szCs w:val="26"/>
              </w:rPr>
            </w:pPr>
            <w:r w:rsidRPr="00104F8A">
              <w:rPr>
                <w:rFonts w:ascii="Times New Roman" w:eastAsia="Times New Roman" w:hAnsi="Times New Roman"/>
                <w:bCs w:val="0"/>
                <w:sz w:val="26"/>
                <w:szCs w:val="26"/>
              </w:rPr>
              <w:t>Giữ nguyên tên chỉ tiêu nhưng thay đổi cơ quan thực hiện cho phù hợp với thực tiễn và đảm bảo hiệu quả chung. Chỉ</w:t>
            </w:r>
            <w:r>
              <w:rPr>
                <w:rFonts w:ascii="Times New Roman" w:eastAsia="Times New Roman" w:hAnsi="Times New Roman"/>
                <w:bCs w:val="0"/>
                <w:sz w:val="26"/>
                <w:szCs w:val="26"/>
              </w:rPr>
              <w:t xml:space="preserve"> tiêu này thu thập qua điều tra thống kê </w:t>
            </w:r>
            <w:r w:rsidRPr="00104F8A">
              <w:rPr>
                <w:rFonts w:ascii="Times New Roman" w:eastAsia="Times New Roman" w:hAnsi="Times New Roman"/>
                <w:bCs w:val="0"/>
                <w:sz w:val="26"/>
                <w:szCs w:val="26"/>
              </w:rPr>
              <w:t>mới đảm bảo độ tin cậy và được công nhận rộng rãi ở trong và ngoài nước. Tổng cục Thống kê là cơ quan nhà nước có chuyên môn sâu và có khả năng tổ chức thực hiện các cuộc điều tra thống kê ở mọi quy mô</w:t>
            </w:r>
          </w:p>
        </w:tc>
      </w:tr>
      <w:tr w:rsidR="00011E9C" w:rsidRPr="00852360" w:rsidTr="00611F6C">
        <w:trPr>
          <w:trHeight w:val="4290"/>
          <w:jc w:val="center"/>
        </w:trPr>
        <w:tc>
          <w:tcPr>
            <w:tcW w:w="704" w:type="dxa"/>
            <w:shd w:val="clear" w:color="auto" w:fill="auto"/>
            <w:noWrap/>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146</w:t>
            </w:r>
          </w:p>
        </w:tc>
        <w:tc>
          <w:tcPr>
            <w:tcW w:w="949" w:type="dxa"/>
            <w:vAlign w:val="center"/>
          </w:tcPr>
          <w:p w:rsidR="00011E9C" w:rsidRPr="002244D4" w:rsidRDefault="00011E9C" w:rsidP="00437E49">
            <w:pPr>
              <w:spacing w:before="60" w:after="60" w:line="240" w:lineRule="auto"/>
              <w:jc w:val="center"/>
              <w:rPr>
                <w:rFonts w:ascii="Times New Roman" w:eastAsia="Times New Roman" w:hAnsi="Times New Roman"/>
                <w:bCs w:val="0"/>
                <w:sz w:val="26"/>
                <w:szCs w:val="26"/>
              </w:rPr>
            </w:pPr>
            <w:r w:rsidRPr="002244D4">
              <w:rPr>
                <w:rFonts w:ascii="Times New Roman" w:eastAsia="Times New Roman" w:hAnsi="Times New Roman"/>
                <w:bCs w:val="0"/>
                <w:sz w:val="26"/>
                <w:szCs w:val="26"/>
              </w:rPr>
              <w:t>1307</w:t>
            </w:r>
          </w:p>
        </w:tc>
        <w:tc>
          <w:tcPr>
            <w:tcW w:w="2595" w:type="dxa"/>
            <w:shd w:val="clear" w:color="auto" w:fill="auto"/>
            <w:vAlign w:val="center"/>
            <w:hideMark/>
          </w:tcPr>
          <w:p w:rsidR="00011E9C" w:rsidRDefault="00011E9C" w:rsidP="00437E49">
            <w:pPr>
              <w:spacing w:before="60" w:after="6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Số lượng thuê bao truy nhập Internet</w:t>
            </w:r>
          </w:p>
          <w:p w:rsidR="00011E9C" w:rsidRPr="00852360" w:rsidRDefault="00CA157F" w:rsidP="00437E49">
            <w:pPr>
              <w:spacing w:before="60" w:after="60" w:line="240" w:lineRule="auto"/>
              <w:jc w:val="both"/>
              <w:rPr>
                <w:rFonts w:ascii="Times New Roman" w:eastAsia="Times New Roman" w:hAnsi="Times New Roman"/>
                <w:bCs w:val="0"/>
                <w:i/>
                <w:iCs/>
                <w:sz w:val="26"/>
                <w:szCs w:val="26"/>
              </w:rPr>
            </w:pPr>
            <w:r>
              <w:rPr>
                <w:rFonts w:ascii="Times New Roman" w:eastAsia="Times New Roman" w:hAnsi="Times New Roman"/>
                <w:bCs w:val="0"/>
                <w:sz w:val="26"/>
                <w:szCs w:val="26"/>
              </w:rPr>
              <w:t xml:space="preserve">Số </w:t>
            </w:r>
            <w:r w:rsidR="00011E9C" w:rsidRPr="00852360">
              <w:rPr>
                <w:rFonts w:ascii="Times New Roman" w:eastAsia="Times New Roman" w:hAnsi="Times New Roman"/>
                <w:bCs w:val="0"/>
                <w:sz w:val="26"/>
                <w:szCs w:val="26"/>
              </w:rPr>
              <w:t>thuê bao truy nhập Internet băng rộng</w:t>
            </w:r>
          </w:p>
        </w:tc>
        <w:tc>
          <w:tcPr>
            <w:tcW w:w="2410" w:type="dxa"/>
            <w:shd w:val="clear" w:color="auto" w:fill="auto"/>
            <w:vAlign w:val="center"/>
            <w:hideMark/>
          </w:tcPr>
          <w:p w:rsidR="00011E9C" w:rsidRPr="00852360" w:rsidRDefault="00011E9C"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Thông tin và Truyền thông</w:t>
            </w:r>
            <w:r w:rsidRPr="00852360">
              <w:rPr>
                <w:rFonts w:ascii="Times New Roman" w:eastAsia="Times New Roman" w:hAnsi="Times New Roman"/>
                <w:bCs w:val="0"/>
                <w:sz w:val="26"/>
                <w:szCs w:val="26"/>
              </w:rPr>
              <w:br/>
              <w:t>- Phối hợp: Tổng cục Thống kê</w:t>
            </w:r>
          </w:p>
        </w:tc>
        <w:tc>
          <w:tcPr>
            <w:tcW w:w="1984" w:type="dxa"/>
            <w:shd w:val="clear" w:color="auto" w:fill="auto"/>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011E9C" w:rsidRPr="00852360" w:rsidRDefault="00011E9C" w:rsidP="00437E49">
            <w:pPr>
              <w:spacing w:before="60" w:after="6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3C3172" w:rsidRDefault="00011E9C"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Đồng bộ với quốc tế để thuận lợi cho việc thu thập số liệu cung cấp cho Liên minh Viễn thông Quốc tế (ITU) và cũng để đảm bảo công bằng trong đánh giá, xếp hạng Việt Nam về Bộ chỉ số Phát triển Công nghệ thông tin và truyền thông toàn cầu (IDI) và một số chỉ số liên quan khác</w:t>
            </w:r>
          </w:p>
          <w:p w:rsidR="00011E9C" w:rsidRPr="00852360" w:rsidRDefault="00011E9C"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Mặt khác, trước đây quy ước băng hẹp là loại có tốc độ dưới 256Kbps, băng rộng là tốc độ từ 256Kbps trở lên. Hiện nay trên thị trường Việt Nam, các doanh nghiệp chỉ còn cung cấp dịch vụ băng rộng (kể cả cố định và di động)</w:t>
            </w:r>
          </w:p>
        </w:tc>
      </w:tr>
      <w:tr w:rsidR="00B00C57" w:rsidRPr="00852360" w:rsidTr="00C12C41">
        <w:trPr>
          <w:trHeight w:val="1215"/>
          <w:jc w:val="center"/>
        </w:trPr>
        <w:tc>
          <w:tcPr>
            <w:tcW w:w="704" w:type="dxa"/>
            <w:shd w:val="clear" w:color="auto" w:fill="auto"/>
            <w:noWrap/>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147</w:t>
            </w:r>
          </w:p>
        </w:tc>
        <w:tc>
          <w:tcPr>
            <w:tcW w:w="949" w:type="dxa"/>
            <w:vAlign w:val="center"/>
          </w:tcPr>
          <w:p w:rsidR="00B00C57" w:rsidRPr="00852360" w:rsidRDefault="00B00C57" w:rsidP="00437E49">
            <w:pPr>
              <w:spacing w:before="60" w:after="6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1308</w:t>
            </w:r>
          </w:p>
        </w:tc>
        <w:tc>
          <w:tcPr>
            <w:tcW w:w="2595" w:type="dxa"/>
            <w:shd w:val="clear" w:color="auto" w:fill="auto"/>
            <w:vAlign w:val="center"/>
            <w:hideMark/>
          </w:tcPr>
          <w:p w:rsidR="00B00C57" w:rsidRPr="00852360" w:rsidRDefault="00B00C57"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hộ gia đình có kết nối Internet</w:t>
            </w:r>
          </w:p>
        </w:tc>
        <w:tc>
          <w:tcPr>
            <w:tcW w:w="2410" w:type="dxa"/>
            <w:shd w:val="clear" w:color="auto" w:fill="auto"/>
            <w:vAlign w:val="center"/>
            <w:hideMark/>
          </w:tcPr>
          <w:p w:rsidR="00B00C57" w:rsidRPr="00B00C57" w:rsidRDefault="00B00C57" w:rsidP="00437E49">
            <w:pPr>
              <w:spacing w:before="60" w:after="60" w:line="240" w:lineRule="auto"/>
              <w:jc w:val="both"/>
              <w:rPr>
                <w:rFonts w:ascii="Times New Roman" w:eastAsia="Times New Roman" w:hAnsi="Times New Roman"/>
                <w:bCs w:val="0"/>
                <w:sz w:val="26"/>
                <w:szCs w:val="26"/>
              </w:rPr>
            </w:pPr>
            <w:r w:rsidRPr="00B00C57">
              <w:rPr>
                <w:rFonts w:ascii="Times New Roman" w:eastAsia="Times New Roman" w:hAnsi="Times New Roman"/>
                <w:bCs w:val="0"/>
                <w:sz w:val="26"/>
                <w:szCs w:val="26"/>
              </w:rPr>
              <w:t xml:space="preserve">- Chủ trì: </w:t>
            </w:r>
            <w:r w:rsidRPr="00B00C57">
              <w:rPr>
                <w:rFonts w:ascii="Times New Roman" w:eastAsia="Times New Roman" w:hAnsi="Times New Roman"/>
                <w:bCs w:val="0"/>
                <w:strike/>
                <w:sz w:val="26"/>
                <w:szCs w:val="26"/>
              </w:rPr>
              <w:t>Bộ Thông tin và Truyền thông</w:t>
            </w:r>
            <w:r w:rsidRPr="00B00C57">
              <w:rPr>
                <w:rFonts w:ascii="Times New Roman" w:eastAsia="Times New Roman" w:hAnsi="Times New Roman"/>
                <w:bCs w:val="0"/>
                <w:sz w:val="26"/>
                <w:szCs w:val="26"/>
              </w:rPr>
              <w:t xml:space="preserve"> Tổng cục Thống kê</w:t>
            </w:r>
          </w:p>
          <w:p w:rsidR="00B00C57" w:rsidRPr="00852360" w:rsidRDefault="00B00C57" w:rsidP="00437E49">
            <w:pPr>
              <w:spacing w:before="60" w:after="60" w:line="240" w:lineRule="auto"/>
              <w:jc w:val="both"/>
              <w:rPr>
                <w:rFonts w:ascii="Times New Roman" w:eastAsia="Times New Roman" w:hAnsi="Times New Roman"/>
                <w:bCs w:val="0"/>
                <w:sz w:val="26"/>
                <w:szCs w:val="26"/>
              </w:rPr>
            </w:pPr>
            <w:r w:rsidRPr="00B00C57">
              <w:rPr>
                <w:rFonts w:ascii="Times New Roman" w:eastAsia="Times New Roman" w:hAnsi="Times New Roman"/>
                <w:bCs w:val="0"/>
                <w:sz w:val="26"/>
                <w:szCs w:val="26"/>
              </w:rPr>
              <w:t xml:space="preserve">- Phối hợp: </w:t>
            </w:r>
            <w:r w:rsidRPr="00B00C57">
              <w:rPr>
                <w:rFonts w:ascii="Times New Roman" w:eastAsia="Times New Roman" w:hAnsi="Times New Roman"/>
                <w:bCs w:val="0"/>
                <w:strike/>
                <w:sz w:val="26"/>
                <w:szCs w:val="26"/>
              </w:rPr>
              <w:t>Tổng cục Thống kê</w:t>
            </w:r>
            <w:r w:rsidRPr="00B00C57">
              <w:rPr>
                <w:rFonts w:ascii="Times New Roman" w:eastAsia="Times New Roman" w:hAnsi="Times New Roman"/>
                <w:bCs w:val="0"/>
                <w:sz w:val="26"/>
                <w:szCs w:val="26"/>
              </w:rPr>
              <w:t xml:space="preserve"> Bộ Thông tin và Truyền thông</w:t>
            </w:r>
          </w:p>
        </w:tc>
        <w:tc>
          <w:tcPr>
            <w:tcW w:w="1984"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p>
        </w:tc>
        <w:tc>
          <w:tcPr>
            <w:tcW w:w="3685" w:type="dxa"/>
            <w:shd w:val="clear" w:color="auto" w:fill="auto"/>
            <w:vAlign w:val="center"/>
          </w:tcPr>
          <w:p w:rsidR="00B00C57" w:rsidRPr="00852360" w:rsidRDefault="00B00C57" w:rsidP="00437E49">
            <w:pPr>
              <w:spacing w:before="60" w:after="60" w:line="240" w:lineRule="auto"/>
              <w:jc w:val="both"/>
              <w:rPr>
                <w:rFonts w:ascii="Times New Roman" w:eastAsia="Times New Roman" w:hAnsi="Times New Roman"/>
                <w:bCs w:val="0"/>
                <w:sz w:val="26"/>
                <w:szCs w:val="26"/>
              </w:rPr>
            </w:pPr>
            <w:r w:rsidRPr="00104F8A">
              <w:rPr>
                <w:rFonts w:ascii="Times New Roman" w:eastAsia="Times New Roman" w:hAnsi="Times New Roman"/>
                <w:bCs w:val="0"/>
                <w:sz w:val="26"/>
                <w:szCs w:val="26"/>
              </w:rPr>
              <w:t>Giữ nguyên tên chỉ tiêu nhưng thay đổi cơ quan thực hiện cho phù hợp với thực tiễn và đảm bảo hiệu quả chung. Chỉ</w:t>
            </w:r>
            <w:r>
              <w:rPr>
                <w:rFonts w:ascii="Times New Roman" w:eastAsia="Times New Roman" w:hAnsi="Times New Roman"/>
                <w:bCs w:val="0"/>
                <w:sz w:val="26"/>
                <w:szCs w:val="26"/>
              </w:rPr>
              <w:t xml:space="preserve"> tiêu này thu thập qua điều tra thống kê </w:t>
            </w:r>
            <w:r w:rsidRPr="00104F8A">
              <w:rPr>
                <w:rFonts w:ascii="Times New Roman" w:eastAsia="Times New Roman" w:hAnsi="Times New Roman"/>
                <w:bCs w:val="0"/>
                <w:sz w:val="26"/>
                <w:szCs w:val="26"/>
              </w:rPr>
              <w:t xml:space="preserve">mới đảm bảo độ tin cậy và được công nhận rộng rãi ở trong và ngoài nước. Tổng cục Thống kê là cơ </w:t>
            </w:r>
            <w:r w:rsidRPr="00104F8A">
              <w:rPr>
                <w:rFonts w:ascii="Times New Roman" w:eastAsia="Times New Roman" w:hAnsi="Times New Roman"/>
                <w:bCs w:val="0"/>
                <w:sz w:val="26"/>
                <w:szCs w:val="26"/>
              </w:rPr>
              <w:lastRenderedPageBreak/>
              <w:t>quan nhà nước có chuyên môn sâu và có khả năng tổ chức thực hiện các cuộc điều tra thống kê ở mọi quy mô</w:t>
            </w:r>
          </w:p>
        </w:tc>
      </w:tr>
      <w:tr w:rsidR="00B00C57" w:rsidRPr="00852360" w:rsidTr="00611F6C">
        <w:trPr>
          <w:trHeight w:val="1320"/>
          <w:jc w:val="center"/>
        </w:trPr>
        <w:tc>
          <w:tcPr>
            <w:tcW w:w="704" w:type="dxa"/>
            <w:shd w:val="clear" w:color="auto" w:fill="auto"/>
            <w:noWrap/>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148</w:t>
            </w:r>
          </w:p>
        </w:tc>
        <w:tc>
          <w:tcPr>
            <w:tcW w:w="949" w:type="dxa"/>
            <w:vAlign w:val="center"/>
          </w:tcPr>
          <w:p w:rsidR="00B00C57" w:rsidRPr="00205A77" w:rsidRDefault="00B00C57" w:rsidP="00437E49">
            <w:pPr>
              <w:spacing w:before="60" w:after="6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1309</w:t>
            </w:r>
          </w:p>
        </w:tc>
        <w:tc>
          <w:tcPr>
            <w:tcW w:w="2595" w:type="dxa"/>
            <w:shd w:val="clear" w:color="auto" w:fill="auto"/>
            <w:vAlign w:val="center"/>
            <w:hideMark/>
          </w:tcPr>
          <w:p w:rsidR="00B00C57" w:rsidRDefault="00B00C57" w:rsidP="00437E49">
            <w:pPr>
              <w:spacing w:before="60" w:after="6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Số đơn vị có giao dịch thương mại điện tử</w:t>
            </w:r>
          </w:p>
          <w:p w:rsidR="00B00C57" w:rsidRPr="00852360" w:rsidRDefault="00B00C57" w:rsidP="00437E49">
            <w:pPr>
              <w:spacing w:before="60" w:after="6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Số thương nhân có giao dịch thương mại điện tử</w:t>
            </w:r>
          </w:p>
        </w:tc>
        <w:tc>
          <w:tcPr>
            <w:tcW w:w="2410" w:type="dxa"/>
            <w:shd w:val="clear" w:color="auto" w:fill="auto"/>
            <w:vAlign w:val="center"/>
            <w:hideMark/>
          </w:tcPr>
          <w:p w:rsidR="00B00C57" w:rsidRPr="00852360" w:rsidRDefault="00B00C57"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Công thương</w:t>
            </w:r>
          </w:p>
        </w:tc>
        <w:tc>
          <w:tcPr>
            <w:tcW w:w="1984"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Công thương</w:t>
            </w:r>
          </w:p>
        </w:tc>
        <w:tc>
          <w:tcPr>
            <w:tcW w:w="1026"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quy định tại khoản 1 và 2 của Điều 2 Luật Thương mại và các văn bản hợp nhất, tổ chức, cá nhân tham gia hoạt động thương mại</w:t>
            </w:r>
          </w:p>
        </w:tc>
      </w:tr>
      <w:tr w:rsidR="00B00C57" w:rsidRPr="00852360" w:rsidTr="00611F6C">
        <w:trPr>
          <w:trHeight w:val="1650"/>
          <w:jc w:val="center"/>
        </w:trPr>
        <w:tc>
          <w:tcPr>
            <w:tcW w:w="704" w:type="dxa"/>
            <w:shd w:val="clear" w:color="auto" w:fill="auto"/>
            <w:noWrap/>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149</w:t>
            </w:r>
          </w:p>
        </w:tc>
        <w:tc>
          <w:tcPr>
            <w:tcW w:w="949" w:type="dxa"/>
            <w:vAlign w:val="center"/>
          </w:tcPr>
          <w:p w:rsidR="00B00C57" w:rsidRPr="00205A77" w:rsidRDefault="00B00C57" w:rsidP="00437E49">
            <w:pPr>
              <w:spacing w:before="60" w:after="6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1310</w:t>
            </w:r>
          </w:p>
        </w:tc>
        <w:tc>
          <w:tcPr>
            <w:tcW w:w="2595" w:type="dxa"/>
            <w:shd w:val="clear" w:color="auto" w:fill="auto"/>
            <w:vAlign w:val="center"/>
            <w:hideMark/>
          </w:tcPr>
          <w:p w:rsidR="00B00C57" w:rsidRDefault="00B00C57" w:rsidP="00437E49">
            <w:pPr>
              <w:spacing w:before="60" w:after="6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Dung lượng kết nối Internet quốc tế bình quân một trăm dân</w:t>
            </w:r>
          </w:p>
          <w:p w:rsidR="00B00C57" w:rsidRPr="00852360" w:rsidRDefault="00B00C57" w:rsidP="00437E49">
            <w:pPr>
              <w:spacing w:before="60" w:after="60" w:line="240" w:lineRule="auto"/>
              <w:jc w:val="both"/>
              <w:rPr>
                <w:rFonts w:ascii="Times New Roman" w:eastAsia="Times New Roman" w:hAnsi="Times New Roman"/>
                <w:bCs w:val="0"/>
                <w:i/>
                <w:iCs/>
                <w:sz w:val="26"/>
                <w:szCs w:val="26"/>
              </w:rPr>
            </w:pPr>
            <w:r>
              <w:rPr>
                <w:rFonts w:ascii="Times New Roman" w:eastAsia="Times New Roman" w:hAnsi="Times New Roman"/>
                <w:bCs w:val="0"/>
                <w:sz w:val="26"/>
                <w:szCs w:val="26"/>
              </w:rPr>
              <w:t>Dung lượng băng thông I</w:t>
            </w:r>
            <w:r w:rsidRPr="00852360">
              <w:rPr>
                <w:rFonts w:ascii="Times New Roman" w:eastAsia="Times New Roman" w:hAnsi="Times New Roman"/>
                <w:bCs w:val="0"/>
                <w:sz w:val="26"/>
                <w:szCs w:val="26"/>
              </w:rPr>
              <w:t>nternet quốc tế</w:t>
            </w:r>
          </w:p>
        </w:tc>
        <w:tc>
          <w:tcPr>
            <w:tcW w:w="2410" w:type="dxa"/>
            <w:shd w:val="clear" w:color="auto" w:fill="auto"/>
            <w:vAlign w:val="center"/>
            <w:hideMark/>
          </w:tcPr>
          <w:p w:rsidR="00B00C57" w:rsidRDefault="00B00C57"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Thông tin và Truyền thông</w:t>
            </w:r>
          </w:p>
          <w:p w:rsidR="00B00C57" w:rsidRPr="00852360" w:rsidRDefault="00B00C57"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Tổng cục Thống kê</w:t>
            </w:r>
          </w:p>
        </w:tc>
        <w:tc>
          <w:tcPr>
            <w:tcW w:w="1984"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437E49">
            <w:pPr>
              <w:spacing w:before="60" w:after="6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437E49">
            <w:pPr>
              <w:spacing w:before="60" w:after="6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Đây là chỉ tiêu thuộc bộ chỉ số IDI của ITU. Tên chỉ tiêu cần đồng bộ với tên gọi quốc tế để thuận lợi trong việc thu thập số liệu và cung cấp cho ITU</w:t>
            </w:r>
          </w:p>
        </w:tc>
      </w:tr>
      <w:tr w:rsidR="00B00C57" w:rsidRPr="00852360" w:rsidTr="00611F6C">
        <w:trPr>
          <w:trHeight w:val="2310"/>
          <w:jc w:val="center"/>
        </w:trPr>
        <w:tc>
          <w:tcPr>
            <w:tcW w:w="704" w:type="dxa"/>
            <w:shd w:val="clear" w:color="auto" w:fill="auto"/>
            <w:noWrap/>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150</w:t>
            </w:r>
          </w:p>
        </w:tc>
        <w:tc>
          <w:tcPr>
            <w:tcW w:w="949" w:type="dxa"/>
            <w:vAlign w:val="center"/>
          </w:tcPr>
          <w:p w:rsidR="00B00C57" w:rsidRPr="00205A77" w:rsidRDefault="00B00C57" w:rsidP="00437E49">
            <w:pPr>
              <w:spacing w:before="40" w:after="4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1311</w:t>
            </w:r>
          </w:p>
        </w:tc>
        <w:tc>
          <w:tcPr>
            <w:tcW w:w="2595" w:type="dxa"/>
            <w:shd w:val="clear" w:color="auto" w:fill="auto"/>
            <w:vAlign w:val="center"/>
            <w:hideMark/>
          </w:tcPr>
          <w:p w:rsidR="00B00C57" w:rsidRDefault="00B00C57" w:rsidP="00437E49">
            <w:pPr>
              <w:spacing w:before="40" w:after="4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Doanh thu công nghệ thông tin</w:t>
            </w:r>
          </w:p>
          <w:p w:rsidR="00B00C57" w:rsidRPr="00852360" w:rsidRDefault="00B00C57" w:rsidP="00437E49">
            <w:pPr>
              <w:spacing w:before="40" w:after="4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Doanh thu dịch vụ công nghệ thông tin</w:t>
            </w:r>
          </w:p>
        </w:tc>
        <w:tc>
          <w:tcPr>
            <w:tcW w:w="2410" w:type="dxa"/>
            <w:shd w:val="clear" w:color="auto" w:fill="auto"/>
            <w:vAlign w:val="center"/>
            <w:hideMark/>
          </w:tcPr>
          <w:p w:rsidR="00B00C57" w:rsidRDefault="00B00C57" w:rsidP="00437E49">
            <w:pPr>
              <w:spacing w:before="40" w:after="4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br/>
            </w:r>
            <w:r w:rsidRPr="00852360">
              <w:rPr>
                <w:rFonts w:ascii="Times New Roman" w:eastAsia="Times New Roman" w:hAnsi="Times New Roman"/>
                <w:bCs w:val="0"/>
                <w:sz w:val="26"/>
                <w:szCs w:val="26"/>
              </w:rPr>
              <w:t>- Chủ trì: Tổng cục Thống kê</w:t>
            </w:r>
          </w:p>
          <w:p w:rsidR="00B00C57" w:rsidRPr="00852360" w:rsidRDefault="00B00C57" w:rsidP="00437E49">
            <w:pPr>
              <w:spacing w:before="40" w:after="4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Thông tin và Truyền thông</w:t>
            </w:r>
          </w:p>
        </w:tc>
        <w:tc>
          <w:tcPr>
            <w:tcW w:w="1984" w:type="dxa"/>
            <w:shd w:val="clear" w:color="auto" w:fill="auto"/>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Default="00B00C57" w:rsidP="00437E49">
            <w:pPr>
              <w:spacing w:before="40" w:after="4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 Phù hợp với </w:t>
            </w:r>
            <w:r>
              <w:rPr>
                <w:rFonts w:ascii="Times New Roman" w:eastAsia="Times New Roman" w:hAnsi="Times New Roman"/>
                <w:bCs w:val="0"/>
                <w:sz w:val="26"/>
                <w:szCs w:val="26"/>
              </w:rPr>
              <w:t>văn bản pháp luật chuyên ngành</w:t>
            </w:r>
          </w:p>
          <w:p w:rsidR="00B00C57" w:rsidRPr="00852360" w:rsidRDefault="00B00C57" w:rsidP="00437E49">
            <w:pPr>
              <w:spacing w:before="40" w:after="4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 </w:t>
            </w:r>
            <w:r w:rsidR="00F71F1E" w:rsidRPr="00F71F1E">
              <w:rPr>
                <w:rFonts w:ascii="Times New Roman" w:hAnsi="Times New Roman"/>
                <w:sz w:val="26"/>
                <w:szCs w:val="26"/>
              </w:rPr>
              <w:t>Nghị quyết số 52-NQ/TW ngày 27/9/2019 của Bộ Chính trị về một số chủ trương, chính sách chủ động tham gia cuộc Cách mạng công nghiệp lần thứ tư</w:t>
            </w:r>
            <w:r w:rsidR="00F71F1E">
              <w:rPr>
                <w:rFonts w:ascii="Times New Roman" w:hAnsi="Times New Roman"/>
                <w:sz w:val="26"/>
                <w:szCs w:val="26"/>
              </w:rPr>
              <w:t xml:space="preserve"> </w:t>
            </w:r>
            <w:r w:rsidR="00F71F1E" w:rsidRPr="00852360">
              <w:rPr>
                <w:rFonts w:ascii="Times New Roman" w:eastAsia="Times New Roman" w:hAnsi="Times New Roman"/>
                <w:bCs w:val="0"/>
                <w:sz w:val="26"/>
                <w:szCs w:val="26"/>
              </w:rPr>
              <w:t>(sau đây viết gọn là Nghị quyết số 52-NQ/TW)</w:t>
            </w:r>
          </w:p>
        </w:tc>
      </w:tr>
      <w:tr w:rsidR="00B00C57" w:rsidRPr="00852360" w:rsidTr="00F71F1E">
        <w:trPr>
          <w:trHeight w:val="5752"/>
          <w:jc w:val="center"/>
        </w:trPr>
        <w:tc>
          <w:tcPr>
            <w:tcW w:w="704" w:type="dxa"/>
            <w:shd w:val="clear" w:color="auto" w:fill="auto"/>
            <w:noWrap/>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151</w:t>
            </w:r>
          </w:p>
        </w:tc>
        <w:tc>
          <w:tcPr>
            <w:tcW w:w="949" w:type="dxa"/>
            <w:vAlign w:val="center"/>
          </w:tcPr>
          <w:p w:rsidR="00B00C57" w:rsidRPr="00852360" w:rsidRDefault="00B00C57" w:rsidP="00437E49">
            <w:pPr>
              <w:spacing w:before="40" w:after="4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437E49">
            <w:pPr>
              <w:spacing w:before="40" w:after="4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hộ gia đình có máy tính</w:t>
            </w:r>
          </w:p>
        </w:tc>
        <w:tc>
          <w:tcPr>
            <w:tcW w:w="2410" w:type="dxa"/>
            <w:shd w:val="clear" w:color="auto" w:fill="auto"/>
            <w:vAlign w:val="center"/>
            <w:hideMark/>
          </w:tcPr>
          <w:p w:rsidR="00B00C57" w:rsidRPr="00852360" w:rsidRDefault="00B00C57" w:rsidP="00437E49">
            <w:pPr>
              <w:spacing w:before="40" w:after="4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437E49">
            <w:pPr>
              <w:spacing w:before="40" w:after="4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Default="000E30F4" w:rsidP="00437E49">
            <w:pPr>
              <w:spacing w:before="40" w:after="4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w:t>
            </w:r>
            <w:r w:rsidR="00B00C57" w:rsidRPr="00852360">
              <w:rPr>
                <w:rFonts w:ascii="Times New Roman" w:eastAsia="Times New Roman" w:hAnsi="Times New Roman"/>
                <w:bCs w:val="0"/>
                <w:sz w:val="26"/>
                <w:szCs w:val="26"/>
              </w:rPr>
              <w:t xml:space="preserve"> Thuộc bộ chỉ tiêu đánh giá Phát triển công nghệ thông tin và truyền thông (IDI) của Liên minh Viễn thông quốc tế (ITU)</w:t>
            </w:r>
          </w:p>
          <w:p w:rsidR="00092419" w:rsidRDefault="000E30F4" w:rsidP="00437E49">
            <w:pPr>
              <w:spacing w:before="40" w:after="4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w:t>
            </w:r>
            <w:r w:rsidR="00B00C57" w:rsidRPr="00852360">
              <w:rPr>
                <w:rFonts w:ascii="Times New Roman" w:eastAsia="Times New Roman" w:hAnsi="Times New Roman"/>
                <w:bCs w:val="0"/>
                <w:sz w:val="26"/>
                <w:szCs w:val="26"/>
              </w:rPr>
              <w:t xml:space="preserve"> Thuộc bộ chỉ tiêu đánh giá Đổi mới sáng tạo toàn cầu (GII) của Tổ chức Sở hữu trí tuệ thế giới (WIPO)</w:t>
            </w:r>
          </w:p>
          <w:p w:rsidR="00B00C57" w:rsidRDefault="000E30F4" w:rsidP="00437E49">
            <w:pPr>
              <w:spacing w:before="40" w:after="4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w:t>
            </w:r>
            <w:r w:rsidR="00B00C57" w:rsidRPr="00852360">
              <w:rPr>
                <w:rFonts w:ascii="Times New Roman" w:eastAsia="Times New Roman" w:hAnsi="Times New Roman"/>
                <w:bCs w:val="0"/>
                <w:sz w:val="26"/>
                <w:szCs w:val="26"/>
              </w:rPr>
              <w:t xml:space="preserve"> Nghị quyết số 02/NQ-CP ngày 01/01/2020 về việc tiếp tục thực hiện những nhiệm vụ, giải pháp chủ yếu để cải thiện môi trường kinh doanh, nâng cao năng l</w:t>
            </w:r>
            <w:r w:rsidR="00F71F1E">
              <w:rPr>
                <w:rFonts w:ascii="Times New Roman" w:eastAsia="Times New Roman" w:hAnsi="Times New Roman"/>
                <w:bCs w:val="0"/>
                <w:sz w:val="26"/>
                <w:szCs w:val="26"/>
              </w:rPr>
              <w:t xml:space="preserve">ực cạnh tranh quốc gia năm 2020 </w:t>
            </w:r>
            <w:r w:rsidR="00F71F1E" w:rsidRPr="00852360">
              <w:rPr>
                <w:rFonts w:ascii="Times New Roman" w:eastAsia="Times New Roman" w:hAnsi="Times New Roman"/>
                <w:bCs w:val="0"/>
                <w:sz w:val="26"/>
                <w:szCs w:val="26"/>
              </w:rPr>
              <w:t>(sau đây viết gọn là Nghị quyết số 02/NQ-CP)</w:t>
            </w:r>
          </w:p>
          <w:p w:rsidR="00B00C57" w:rsidRPr="00852360" w:rsidRDefault="000E30F4" w:rsidP="00437E49">
            <w:pPr>
              <w:spacing w:before="40" w:after="4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w:t>
            </w:r>
            <w:r w:rsidR="00B00C57" w:rsidRPr="00852360">
              <w:rPr>
                <w:rFonts w:ascii="Times New Roman" w:eastAsia="Times New Roman" w:hAnsi="Times New Roman"/>
                <w:bCs w:val="0"/>
                <w:sz w:val="26"/>
                <w:szCs w:val="26"/>
              </w:rPr>
              <w:t xml:space="preserve"> Nghị quyết số 52-NQ/TW ngày 27/9/2019</w:t>
            </w:r>
          </w:p>
        </w:tc>
      </w:tr>
      <w:tr w:rsidR="00B00C57" w:rsidRPr="00852360" w:rsidTr="00611F6C">
        <w:trPr>
          <w:trHeight w:val="132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152</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người sở hữu điện thoại di động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F71F1E" w:rsidP="00F71F1E">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Thuộc bộ chỉ tiêu phát triển bền vững toàn cầu (SDG)</w:t>
            </w:r>
          </w:p>
        </w:tc>
      </w:tr>
      <w:tr w:rsidR="00B00C57" w:rsidRPr="00852360" w:rsidTr="00F71F1E">
        <w:trPr>
          <w:trHeight w:val="2208"/>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153</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dân số được phủ sóng bởi mạng di động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092419"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 Thuộc Bộ chỉ tiêu IDI của ITU </w:t>
            </w:r>
            <w:r w:rsidRPr="00852360">
              <w:rPr>
                <w:rFonts w:ascii="Times New Roman" w:eastAsia="Times New Roman" w:hAnsi="Times New Roman"/>
                <w:bCs w:val="0"/>
                <w:sz w:val="26"/>
                <w:szCs w:val="26"/>
              </w:rPr>
              <w:br/>
              <w:t>- Thuộc Bộ chỉ tiêu GII của WIPO</w:t>
            </w:r>
            <w:r w:rsidRPr="00852360">
              <w:rPr>
                <w:rFonts w:ascii="Times New Roman" w:eastAsia="Times New Roman" w:hAnsi="Times New Roman"/>
                <w:bCs w:val="0"/>
                <w:sz w:val="26"/>
                <w:szCs w:val="26"/>
              </w:rPr>
              <w:br/>
              <w:t xml:space="preserve">- </w:t>
            </w:r>
            <w:r w:rsidR="00F71F1E" w:rsidRPr="00852360">
              <w:rPr>
                <w:rFonts w:ascii="Times New Roman" w:eastAsia="Times New Roman" w:hAnsi="Times New Roman"/>
                <w:bCs w:val="0"/>
                <w:sz w:val="26"/>
                <w:szCs w:val="26"/>
              </w:rPr>
              <w:t>Nghị quyết số 02/NQ-CP</w:t>
            </w:r>
          </w:p>
          <w:p w:rsidR="00B00C57" w:rsidRPr="00852360" w:rsidRDefault="00F71F1E" w:rsidP="00B00C5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xml:space="preserve">- </w:t>
            </w:r>
            <w:r w:rsidRPr="00852360">
              <w:rPr>
                <w:rFonts w:ascii="Times New Roman" w:eastAsia="Times New Roman" w:hAnsi="Times New Roman"/>
                <w:bCs w:val="0"/>
                <w:sz w:val="26"/>
                <w:szCs w:val="26"/>
              </w:rPr>
              <w:t>Nghị quyết số 52-NQ/TW ngày 27/9/2019</w:t>
            </w:r>
          </w:p>
        </w:tc>
      </w:tr>
      <w:tr w:rsidR="00B00C57" w:rsidRPr="00852360" w:rsidTr="00611F6C">
        <w:trPr>
          <w:trHeight w:val="198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154</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Lưu lượng Internet băng rộng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Phản ánh tổng lượng thông tin số được trao đổi (gửi, nhận) của người sử dụng internet của Việt Nam</w:t>
            </w:r>
            <w:r w:rsidRPr="00852360">
              <w:rPr>
                <w:rFonts w:ascii="Times New Roman" w:eastAsia="Times New Roman" w:hAnsi="Times New Roman"/>
                <w:bCs w:val="0"/>
                <w:sz w:val="26"/>
                <w:szCs w:val="26"/>
              </w:rPr>
              <w:br/>
              <w:t>- Là chỉ tiêu thuộc Bộ chỉ số phát triển CNTT và truyền thông của Liên minh viễn thông quốc tế (ITU)</w:t>
            </w:r>
          </w:p>
        </w:tc>
      </w:tr>
      <w:tr w:rsidR="00B00C57" w:rsidRPr="00852360" w:rsidTr="00611F6C">
        <w:trPr>
          <w:trHeight w:val="132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155</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số chứng thư số đang hoạt động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Thể hiện mức độ ứng dụng công nghệ (chữ ký số) để đảm bảo an toàn thông tin trong hoạt động kinh tế - xã hội của tổ chức, cá nhân, t</w:t>
            </w:r>
            <w:r>
              <w:rPr>
                <w:rFonts w:ascii="Times New Roman" w:eastAsia="Times New Roman" w:hAnsi="Times New Roman"/>
                <w:bCs w:val="0"/>
                <w:sz w:val="26"/>
                <w:szCs w:val="26"/>
              </w:rPr>
              <w:t>rong đó có các cơ quan nhà nước</w:t>
            </w:r>
          </w:p>
        </w:tc>
      </w:tr>
      <w:tr w:rsidR="00B00C57" w:rsidRPr="00852360" w:rsidTr="00611F6C">
        <w:trPr>
          <w:trHeight w:val="231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156</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người dân biết kỹ năng cơ bản về công nghệ thông tin và truyền thông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3724D1"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Thuộc Bộ chỉ tiêu IDI của ITU</w:t>
            </w:r>
            <w:r w:rsidRPr="00852360">
              <w:rPr>
                <w:rFonts w:ascii="Times New Roman" w:eastAsia="Times New Roman" w:hAnsi="Times New Roman"/>
                <w:bCs w:val="0"/>
                <w:sz w:val="26"/>
                <w:szCs w:val="26"/>
              </w:rPr>
              <w:br/>
              <w:t>- Thuộc Bộ chỉ tiêu GII của WIPO</w:t>
            </w:r>
            <w:r w:rsidRPr="00852360">
              <w:rPr>
                <w:rFonts w:ascii="Times New Roman" w:eastAsia="Times New Roman" w:hAnsi="Times New Roman"/>
                <w:bCs w:val="0"/>
                <w:sz w:val="26"/>
                <w:szCs w:val="26"/>
              </w:rPr>
              <w:br/>
              <w:t>- Thuộc Bộ chỉ tiêu đánh giá Năng lực cạnh tranh toàn cầu (GCI) của Diễn đàn kinh tế thế giới (WEF)</w:t>
            </w:r>
          </w:p>
          <w:p w:rsidR="00B00C57" w:rsidRPr="00852360" w:rsidRDefault="003724D1" w:rsidP="00B00C5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Thuộc Bộ chỉ tiêu đánh giá s</w:t>
            </w:r>
            <w:r w:rsidR="00B00C57" w:rsidRPr="00852360">
              <w:rPr>
                <w:rFonts w:ascii="Times New Roman" w:eastAsia="Times New Roman" w:hAnsi="Times New Roman"/>
                <w:bCs w:val="0"/>
                <w:sz w:val="26"/>
                <w:szCs w:val="26"/>
              </w:rPr>
              <w:t>ẵn sàng cho nền sản xuất tương lai (FOP) của WEF</w:t>
            </w:r>
          </w:p>
        </w:tc>
      </w:tr>
      <w:tr w:rsidR="00B00C57" w:rsidRPr="00852360" w:rsidTr="00611F6C">
        <w:trPr>
          <w:trHeight w:val="231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157</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người dân có sử dụng dịch vụ công trực tuyến</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Đánh giá hiệu quả cung cấp và sử dụng dịch vụ công trực tuyến theo Nghị quyết số 17/NQ-CP ngày 7/3/2019 về một số nhiệm vụ, giải pháp trọng tâm phát triển Chính phủ điện tử giai đoạn 2019-2020 và định hướng đến 2025 (viết</w:t>
            </w:r>
            <w:r>
              <w:rPr>
                <w:rFonts w:ascii="Times New Roman" w:eastAsia="Times New Roman" w:hAnsi="Times New Roman"/>
                <w:bCs w:val="0"/>
                <w:sz w:val="26"/>
                <w:szCs w:val="26"/>
              </w:rPr>
              <w:t xml:space="preserve"> gọn là Nghị quyết số 17/NQ-CP)</w:t>
            </w:r>
          </w:p>
        </w:tc>
      </w:tr>
      <w:tr w:rsidR="00B00C57" w:rsidRPr="00852360" w:rsidTr="00611F6C">
        <w:trPr>
          <w:trHeight w:val="1215"/>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158</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45324A" w:rsidP="00B00C5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xml:space="preserve">Số </w:t>
            </w:r>
            <w:r w:rsidR="00B00C57" w:rsidRPr="00852360">
              <w:rPr>
                <w:rFonts w:ascii="Times New Roman" w:eastAsia="Times New Roman" w:hAnsi="Times New Roman"/>
                <w:bCs w:val="0"/>
                <w:sz w:val="26"/>
                <w:szCs w:val="26"/>
              </w:rPr>
              <w:t>dịch vụ hành chính công có phát sinh hồ sơ trực tuyến</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Đánh giá hiệu quả cung cấp và sử dụng dịch vụ công trực tuyến theo Nghị quyết số 17/NQ-CP</w:t>
            </w:r>
          </w:p>
        </w:tc>
      </w:tr>
      <w:tr w:rsidR="00B00C57" w:rsidRPr="00852360" w:rsidTr="00437E49">
        <w:trPr>
          <w:trHeight w:val="2491"/>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159</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người Việt Nam tham gia mạng xã hội</w:t>
            </w:r>
          </w:p>
        </w:tc>
        <w:tc>
          <w:tcPr>
            <w:tcW w:w="2410"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Thông tin và Truyền thông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Nghị quyết số 17/NQ-CP</w:t>
            </w:r>
            <w:r w:rsidRPr="00852360">
              <w:rPr>
                <w:rFonts w:ascii="Times New Roman" w:eastAsia="Times New Roman" w:hAnsi="Times New Roman"/>
                <w:bCs w:val="0"/>
                <w:sz w:val="26"/>
                <w:szCs w:val="26"/>
              </w:rPr>
              <w:br/>
              <w:t>- Nghị quyết số 02/NQ-CP ngày 01/01/2020 của Chính phủ về tiếp tục thực hiện những nhiệm vụ, giải pháp chủ yếu cải thiện môi trường kinh doanh, nâng cao năng lực cạnh tranh quốc gia năm 2020</w:t>
            </w:r>
          </w:p>
        </w:tc>
      </w:tr>
      <w:tr w:rsidR="00B00C57" w:rsidRPr="00852360" w:rsidTr="00437E49">
        <w:trPr>
          <w:trHeight w:val="1924"/>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160</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A43F6C">
              <w:rPr>
                <w:rFonts w:ascii="Times New Roman" w:eastAsia="Times New Roman" w:hAnsi="Times New Roman"/>
                <w:bCs w:val="0"/>
                <w:sz w:val="26"/>
                <w:szCs w:val="26"/>
              </w:rPr>
              <w:t>Tỷ lệ người Việt Nam đọc báo, tạp chí</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D8612C">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Quyết định số 362/QĐ-TTg ngày 03/4/2019 của Thủ tướng Chính phủ phê duyệt Quy hoạch phát triển và quản lý báo </w:t>
            </w:r>
            <w:r w:rsidR="00D8612C">
              <w:rPr>
                <w:rFonts w:ascii="Times New Roman" w:eastAsia="Times New Roman" w:hAnsi="Times New Roman"/>
                <w:bCs w:val="0"/>
                <w:sz w:val="26"/>
                <w:szCs w:val="26"/>
              </w:rPr>
              <w:t>chí toàn quốc đến năm 2025</w:t>
            </w:r>
          </w:p>
        </w:tc>
      </w:tr>
      <w:tr w:rsidR="00B00C57" w:rsidRPr="00852360" w:rsidTr="00437E49">
        <w:trPr>
          <w:trHeight w:val="1783"/>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161</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A43F6C">
              <w:rPr>
                <w:rFonts w:ascii="Times New Roman" w:eastAsia="Times New Roman" w:hAnsi="Times New Roman"/>
                <w:bCs w:val="0"/>
                <w:sz w:val="26"/>
                <w:szCs w:val="26"/>
              </w:rPr>
              <w:t>Chi cho chuyển đổi số</w:t>
            </w:r>
          </w:p>
        </w:tc>
        <w:tc>
          <w:tcPr>
            <w:tcW w:w="2410" w:type="dxa"/>
            <w:shd w:val="clear" w:color="auto" w:fill="auto"/>
            <w:vAlign w:val="center"/>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A43F6C">
              <w:rPr>
                <w:rFonts w:ascii="Times New Roman" w:eastAsia="Times New Roman" w:hAnsi="Times New Roman"/>
                <w:bCs w:val="0"/>
                <w:sz w:val="26"/>
                <w:szCs w:val="26"/>
              </w:rPr>
              <w:t>Tổng cục Thống kê</w:t>
            </w:r>
          </w:p>
        </w:tc>
        <w:tc>
          <w:tcPr>
            <w:tcW w:w="1984"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Thông tin và Truyền thông</w:t>
            </w:r>
          </w:p>
        </w:tc>
        <w:tc>
          <w:tcPr>
            <w:tcW w:w="1026"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Quyết định số 749/QĐ-TTg ngày 3/6/2020 phê duyệt “Chương trình chuyển đổi số quốc gia đến năm 2025, định hướng đến năm 2030”</w:t>
            </w:r>
          </w:p>
        </w:tc>
      </w:tr>
      <w:tr w:rsidR="00B00C57" w:rsidRPr="00852360" w:rsidTr="00611F6C">
        <w:trPr>
          <w:trHeight w:val="66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14. Khoa học và công nghệ</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66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162</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1401</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tổ chức khoa học và công nghệ</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Khoa học và Công nghệ</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C60F3C">
        <w:trPr>
          <w:trHeight w:val="132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163</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1402</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người trong các tổ chức khoa học và công nghệ</w:t>
            </w:r>
          </w:p>
        </w:tc>
        <w:tc>
          <w:tcPr>
            <w:tcW w:w="2410"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Khoa học và Công nghệ</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C60F3C">
        <w:trPr>
          <w:trHeight w:val="132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164</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1403</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người hoạt động nghiên cứu khoa học và phát triển công nghệ</w:t>
            </w:r>
          </w:p>
        </w:tc>
        <w:tc>
          <w:tcPr>
            <w:tcW w:w="2410"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Khoa học và Công nghệ</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C60F3C">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165</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1404</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sáng chế được cấp văn bằng bảo hộ</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Khoa học và Công nghệ</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E56CEC">
        <w:trPr>
          <w:trHeight w:val="2208"/>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949" w:type="dxa"/>
            <w:vAlign w:val="center"/>
          </w:tcPr>
          <w:p w:rsidR="00B00C57" w:rsidRPr="00205A77" w:rsidRDefault="00B00C57" w:rsidP="00B00C57">
            <w:pPr>
              <w:spacing w:before="100" w:after="100" w:line="240" w:lineRule="auto"/>
              <w:jc w:val="center"/>
              <w:rPr>
                <w:rFonts w:ascii="Times New Roman" w:eastAsia="Times New Roman" w:hAnsi="Times New Roman"/>
                <w:bCs w:val="0"/>
                <w:sz w:val="26"/>
                <w:szCs w:val="26"/>
              </w:rPr>
            </w:pPr>
            <w:r w:rsidRPr="00205A77">
              <w:rPr>
                <w:rFonts w:ascii="Times New Roman" w:eastAsia="Times New Roman" w:hAnsi="Times New Roman"/>
                <w:bCs w:val="0"/>
                <w:sz w:val="26"/>
                <w:szCs w:val="26"/>
              </w:rPr>
              <w:t>1405</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Chỉ số đổi mới công nghệ, thiết bị</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Bộ Khoa học và Công nghệ</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Khoa học và Công nghệ</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3685"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 Đổi mới công nghệ, thiết bị chỉ là một phần của hoạt động đổi mới sáng tạo trong doanh nghiệp, không mang tính bao quát. Hiện nay, Bộ KHCN đang triển khai thực hiện chỉ tiêu "Tỷ lệ doanh nghiệp thực hiện đổi mới sáng tạo" theo Thông tư số 03/2018/TT-BKHCN ngày 15/5/2018 về việc ban hành hệ thống chỉ tiêu thống kê ngành KHCN và phân công thu thập, </w:t>
            </w:r>
            <w:r w:rsidRPr="00852360">
              <w:rPr>
                <w:rFonts w:ascii="Times New Roman" w:eastAsia="Times New Roman" w:hAnsi="Times New Roman"/>
                <w:bCs w:val="0"/>
                <w:sz w:val="26"/>
                <w:szCs w:val="26"/>
              </w:rPr>
              <w:lastRenderedPageBreak/>
              <w:t>tổng hợp các chỉ tiêu thống kê quốc gia</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Dữ liệu để tính toán chỉ số đổi mới công nghệ, thiết bị không đầy đủ, không đồng nhất nên việc tính toán chỉ số này không khả thi trong thực tế</w:t>
            </w:r>
          </w:p>
        </w:tc>
      </w:tr>
      <w:tr w:rsidR="00B00C57" w:rsidRPr="00852360" w:rsidTr="00847470">
        <w:trPr>
          <w:trHeight w:val="155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166</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1406</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chi đổi mới công nghệ so với tổng vốn cố định của doanh nghiệp</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165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167</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1407</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Chi cho nghiên cứu khoa học và phát triển công nghệ</w:t>
            </w:r>
          </w:p>
        </w:tc>
        <w:tc>
          <w:tcPr>
            <w:tcW w:w="2410"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Khoa học và Công nghệ</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Tổng cục Thống kê; Bộ Tài chính</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375"/>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15. Giáo dục</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66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168</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1501</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học sinh phổ thông bình quân một giáo viên</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Giáo dục và Đào tạo</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254F70">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169</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1502</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học sinh phổ thông bình quân một lớp học</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Giáo dục và Đào tạo</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254F70">
        <w:trPr>
          <w:trHeight w:val="132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170</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1503</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học sinh đi học phổ thông</w:t>
            </w:r>
          </w:p>
        </w:tc>
        <w:tc>
          <w:tcPr>
            <w:tcW w:w="2410"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Giáo dục và Đào tạo</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66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16. Y tế và chăm sóc sức khỏe</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66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171</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1601</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bác sĩ, số giường bệnh trên mười nghìn dân</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Y tế</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254F70">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172</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1602</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số tử vong mẹ trên một trăm nghìn trẻ đẻ sống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254F70">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173</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1603</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suất chết của trẻ em dưới 01 tuổi</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254F70">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174</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1604</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suất chết của trẻ em dưới 05 tuổi</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254F70">
        <w:trPr>
          <w:trHeight w:val="99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175</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1605</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trẻ em dưới 01 tuổi được tiêm chủng đầy đủ các loại vắc xin</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Y tế</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254F70">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176</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1606</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trẻ em dưới 05 tuổi suy dinh dưỡng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Y tế</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254F70">
        <w:trPr>
          <w:trHeight w:val="99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177</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1607</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ca hiện nhiễm HIV được phát hiện trên một trăm nghìn dân</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Y tế</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254F70">
        <w:trPr>
          <w:trHeight w:val="1567"/>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178</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1608</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ca tử vong do HIV/AIDS được báo cáo hàng năm trên một trăm nghìn dân</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Y tế</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1567"/>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179</w:t>
            </w:r>
          </w:p>
        </w:tc>
        <w:tc>
          <w:tcPr>
            <w:tcW w:w="949" w:type="dxa"/>
            <w:vAlign w:val="center"/>
          </w:tcPr>
          <w:p w:rsidR="00B00C57"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EB7D72">
              <w:rPr>
                <w:rFonts w:ascii="Times New Roman" w:eastAsia="Times New Roman" w:hAnsi="Times New Roman"/>
                <w:bCs w:val="0"/>
                <w:sz w:val="26"/>
                <w:szCs w:val="26"/>
              </w:rPr>
              <w:t>Tỷ lệ cơ sở khám bệnh, chữa bệnh triển khai tư vấn khám, chữa bệnh từ xa</w:t>
            </w:r>
          </w:p>
        </w:tc>
        <w:tc>
          <w:tcPr>
            <w:tcW w:w="2410" w:type="dxa"/>
            <w:shd w:val="clear" w:color="auto" w:fill="auto"/>
            <w:vAlign w:val="center"/>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Y tế</w:t>
            </w:r>
          </w:p>
        </w:tc>
        <w:tc>
          <w:tcPr>
            <w:tcW w:w="1984"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EB7D72">
              <w:rPr>
                <w:rFonts w:ascii="Times New Roman" w:eastAsia="Times New Roman" w:hAnsi="Times New Roman"/>
                <w:bCs w:val="0"/>
                <w:sz w:val="26"/>
                <w:szCs w:val="26"/>
              </w:rPr>
              <w:t>Bộ Thông tin và Truyền thông</w:t>
            </w:r>
          </w:p>
        </w:tc>
        <w:tc>
          <w:tcPr>
            <w:tcW w:w="1026"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Quyết định số 749/QĐ-TTg ngày 3/6/2020 phê duyệt “Chương trình chuyển đổi số quốc gia đến năm 2025, định hướng đến năm 2030”</w:t>
            </w:r>
          </w:p>
        </w:tc>
      </w:tr>
      <w:tr w:rsidR="00B00C57" w:rsidRPr="00852360" w:rsidTr="00611F6C">
        <w:trPr>
          <w:trHeight w:val="66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17. Văn hóa, thể thao và du lịch</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180</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1701</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di sản văn hóa cấp quốc gia</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Văn hóa, Thể thao và Du lịch</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181</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1702</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huy chương trong các kỳ thi đấu quốc tế</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Văn hóa, Thể thao và Du lịch</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182</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1703</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Doanh thu dịch vụ du lịch lữ hành</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132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183</w:t>
            </w:r>
          </w:p>
        </w:tc>
        <w:tc>
          <w:tcPr>
            <w:tcW w:w="949" w:type="dxa"/>
            <w:vAlign w:val="center"/>
          </w:tcPr>
          <w:p w:rsidR="00B00C57" w:rsidRPr="00611F6C" w:rsidRDefault="00B00C57" w:rsidP="00B00C57">
            <w:pPr>
              <w:spacing w:before="100" w:after="100" w:line="240" w:lineRule="auto"/>
              <w:jc w:val="center"/>
              <w:rPr>
                <w:rFonts w:ascii="Times New Roman" w:eastAsia="Times New Roman" w:hAnsi="Times New Roman"/>
                <w:bCs w:val="0"/>
                <w:sz w:val="26"/>
                <w:szCs w:val="26"/>
              </w:rPr>
            </w:pPr>
            <w:r w:rsidRPr="00611F6C">
              <w:rPr>
                <w:rFonts w:ascii="Times New Roman" w:eastAsia="Times New Roman" w:hAnsi="Times New Roman"/>
                <w:bCs w:val="0"/>
                <w:sz w:val="26"/>
                <w:szCs w:val="26"/>
              </w:rPr>
              <w:t>1704</w:t>
            </w:r>
          </w:p>
        </w:tc>
        <w:tc>
          <w:tcPr>
            <w:tcW w:w="2595"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Số lượt người nước ngoài đến Việt Nam</w:t>
            </w:r>
          </w:p>
          <w:p w:rsidR="00B00C57" w:rsidRPr="00852360" w:rsidRDefault="00B00C57" w:rsidP="00B00C5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Số lượt người nước ngoài nhập cảnh Việt Nam</w:t>
            </w:r>
          </w:p>
        </w:tc>
        <w:tc>
          <w:tcPr>
            <w:tcW w:w="2410"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Công an, Bộ Quốc phòng</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Quốc phòng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tình hình thực tế và văn bản pháp luật chuyên ngành</w:t>
            </w:r>
          </w:p>
        </w:tc>
      </w:tr>
      <w:tr w:rsidR="00B00C57" w:rsidRPr="00852360" w:rsidTr="0095511E">
        <w:trPr>
          <w:trHeight w:val="165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184</w:t>
            </w:r>
          </w:p>
        </w:tc>
        <w:tc>
          <w:tcPr>
            <w:tcW w:w="949" w:type="dxa"/>
            <w:vAlign w:val="center"/>
          </w:tcPr>
          <w:p w:rsidR="00B00C57" w:rsidRPr="00611F6C" w:rsidRDefault="00B00C57" w:rsidP="00B00C57">
            <w:pPr>
              <w:spacing w:before="100" w:after="100" w:line="240" w:lineRule="auto"/>
              <w:jc w:val="center"/>
              <w:rPr>
                <w:rFonts w:ascii="Times New Roman" w:eastAsia="Times New Roman" w:hAnsi="Times New Roman"/>
                <w:bCs w:val="0"/>
                <w:sz w:val="26"/>
                <w:szCs w:val="26"/>
              </w:rPr>
            </w:pPr>
            <w:r w:rsidRPr="00611F6C">
              <w:rPr>
                <w:rFonts w:ascii="Times New Roman" w:eastAsia="Times New Roman" w:hAnsi="Times New Roman"/>
                <w:bCs w:val="0"/>
                <w:sz w:val="26"/>
                <w:szCs w:val="26"/>
              </w:rPr>
              <w:t>1705</w:t>
            </w:r>
          </w:p>
        </w:tc>
        <w:tc>
          <w:tcPr>
            <w:tcW w:w="2595"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Số lượt người Việt Nam ra nước ngoài</w:t>
            </w:r>
          </w:p>
          <w:p w:rsidR="00B00C57" w:rsidRPr="00852360" w:rsidRDefault="00B00C57" w:rsidP="00B00C5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Số lượt công dân Việt Nam xuất cảnh</w:t>
            </w:r>
          </w:p>
        </w:tc>
        <w:tc>
          <w:tcPr>
            <w:tcW w:w="2410"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Công an, Bộ Quốc phòng</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Quốc phòng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tình hình thực tế và văn bản pháp luật chuyên ngành</w:t>
            </w: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185</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1706</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lượt khách du lịch nội địa</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Văn hóa, Thể thao và Du lịch</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186</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1707</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Chi tiêu của khách quốc tế đến Việt Nam</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1650"/>
          <w:jc w:val="center"/>
        </w:trPr>
        <w:tc>
          <w:tcPr>
            <w:tcW w:w="704" w:type="dxa"/>
            <w:shd w:val="clear" w:color="auto" w:fill="auto"/>
            <w:noWrap/>
            <w:vAlign w:val="center"/>
            <w:hideMark/>
          </w:tcPr>
          <w:p w:rsidR="00B00C57" w:rsidRPr="00611F6C" w:rsidRDefault="00B00C57" w:rsidP="00B00C57">
            <w:pPr>
              <w:spacing w:before="100" w:after="100" w:line="240" w:lineRule="auto"/>
              <w:jc w:val="center"/>
              <w:rPr>
                <w:rFonts w:ascii="Times New Roman" w:eastAsia="Times New Roman" w:hAnsi="Times New Roman"/>
                <w:bCs w:val="0"/>
                <w:sz w:val="26"/>
                <w:szCs w:val="26"/>
              </w:rPr>
            </w:pPr>
            <w:r w:rsidRPr="00611F6C">
              <w:rPr>
                <w:rFonts w:ascii="Times New Roman" w:eastAsia="Times New Roman" w:hAnsi="Times New Roman"/>
                <w:bCs w:val="0"/>
                <w:sz w:val="26"/>
                <w:szCs w:val="26"/>
              </w:rPr>
              <w:lastRenderedPageBreak/>
              <w:t>187</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1708</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Chi tiêu của khách du lịch nội địa</w:t>
            </w:r>
          </w:p>
        </w:tc>
        <w:tc>
          <w:tcPr>
            <w:tcW w:w="2410"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Văn hóa, Thể thao và Du lịch</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375"/>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18. Mức sống dân cư</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188</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1801</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số phát triển con người (HDI)</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D47457">
        <w:trPr>
          <w:trHeight w:val="1502"/>
          <w:jc w:val="center"/>
        </w:trPr>
        <w:tc>
          <w:tcPr>
            <w:tcW w:w="704" w:type="dxa"/>
            <w:shd w:val="clear" w:color="auto" w:fill="auto"/>
            <w:noWrap/>
            <w:vAlign w:val="center"/>
          </w:tcPr>
          <w:p w:rsidR="00B00C57" w:rsidRPr="00611F6C"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189</w:t>
            </w:r>
          </w:p>
        </w:tc>
        <w:tc>
          <w:tcPr>
            <w:tcW w:w="949" w:type="dxa"/>
            <w:vAlign w:val="center"/>
          </w:tcPr>
          <w:p w:rsidR="00B00C57" w:rsidRPr="00611F6C"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1806</w:t>
            </w:r>
          </w:p>
        </w:tc>
        <w:tc>
          <w:tcPr>
            <w:tcW w:w="2595"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Tỷ lệ nghèo</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nghèo đa chiều</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5F40FD">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Nghị quyết đại hội đại b</w:t>
            </w:r>
            <w:r w:rsidR="005F40FD">
              <w:rPr>
                <w:rFonts w:ascii="Times New Roman" w:eastAsia="Times New Roman" w:hAnsi="Times New Roman"/>
                <w:bCs w:val="0"/>
                <w:sz w:val="26"/>
                <w:szCs w:val="26"/>
              </w:rPr>
              <w:t xml:space="preserve">iểu toàn quốc lần thứ XIII </w:t>
            </w:r>
            <w:r w:rsidRPr="00852360">
              <w:rPr>
                <w:rFonts w:ascii="Times New Roman" w:eastAsia="Times New Roman" w:hAnsi="Times New Roman"/>
                <w:bCs w:val="0"/>
                <w:sz w:val="26"/>
                <w:szCs w:val="26"/>
              </w:rPr>
              <w:t>quy định tỷ lệ nghèo đa chiều d</w:t>
            </w:r>
            <w:r w:rsidR="005F40FD">
              <w:rPr>
                <w:rFonts w:ascii="Times New Roman" w:eastAsia="Times New Roman" w:hAnsi="Times New Roman"/>
                <w:bCs w:val="0"/>
                <w:sz w:val="26"/>
                <w:szCs w:val="26"/>
              </w:rPr>
              <w:t>uy trì mức giảm 1-1.5% hàng năm</w:t>
            </w:r>
          </w:p>
        </w:tc>
      </w:tr>
      <w:tr w:rsidR="00B00C57" w:rsidRPr="00852360" w:rsidTr="00D47457">
        <w:trPr>
          <w:trHeight w:val="971"/>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190</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noWrap/>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trẻ em nghèo đa chiều</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D47457" w:rsidP="00B00C5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Chỉ tiêu thuộc bộ chỉ tiêu phát triển bền vững toàn cầu (SDG)</w:t>
            </w:r>
          </w:p>
        </w:tc>
      </w:tr>
      <w:tr w:rsidR="00B00C57" w:rsidRPr="00852360" w:rsidTr="0095511E">
        <w:trPr>
          <w:trHeight w:val="99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191</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1803</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Hệ số bất bình đẳng trong phân phối thu nhập (hệ số Gini)</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99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192</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1804</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Tỷ lệ dân số đô thị được cung cấp nước </w:t>
            </w:r>
            <w:r w:rsidRPr="00852360">
              <w:rPr>
                <w:rFonts w:ascii="Times New Roman" w:eastAsia="Times New Roman" w:hAnsi="Times New Roman"/>
                <w:bCs w:val="0"/>
                <w:sz w:val="26"/>
                <w:szCs w:val="26"/>
              </w:rPr>
              <w:lastRenderedPageBreak/>
              <w:t>sạch qua hệ thống cấp nước tập trung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Bộ Xây dựng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99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193</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Tỷ lệ hộ dân nông </w:t>
            </w:r>
            <w:r>
              <w:rPr>
                <w:rFonts w:ascii="Times New Roman" w:eastAsia="Times New Roman" w:hAnsi="Times New Roman"/>
                <w:bCs w:val="0"/>
                <w:sz w:val="26"/>
                <w:szCs w:val="26"/>
              </w:rPr>
              <w:t>thôn sử dụng nước sạch đáp ứng q</w:t>
            </w:r>
            <w:r w:rsidRPr="00852360">
              <w:rPr>
                <w:rFonts w:ascii="Times New Roman" w:eastAsia="Times New Roman" w:hAnsi="Times New Roman"/>
                <w:bCs w:val="0"/>
                <w:sz w:val="26"/>
                <w:szCs w:val="26"/>
              </w:rPr>
              <w:t>uy chuẩn Việt Nam</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color w:val="000000"/>
                <w:sz w:val="26"/>
                <w:szCs w:val="26"/>
              </w:rPr>
            </w:pPr>
            <w:r w:rsidRPr="00852360">
              <w:rPr>
                <w:rFonts w:ascii="Times New Roman" w:eastAsia="Times New Roman" w:hAnsi="Times New Roman"/>
                <w:bCs w:val="0"/>
                <w:color w:val="000000"/>
                <w:sz w:val="26"/>
                <w:szCs w:val="26"/>
              </w:rPr>
              <w:t>Bộ Nông nghiệp và Phát triển nông thôn</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color w:val="000000"/>
                <w:sz w:val="26"/>
                <w:szCs w:val="26"/>
              </w:rPr>
            </w:pPr>
            <w:r w:rsidRPr="00852360">
              <w:rPr>
                <w:rFonts w:ascii="Times New Roman" w:eastAsia="Times New Roman" w:hAnsi="Times New Roman"/>
                <w:bCs w:val="0"/>
                <w:color w:val="000000"/>
                <w:sz w:val="26"/>
                <w:szCs w:val="26"/>
              </w:rPr>
              <w:t>Bộ Nông nghiệp và Phát triển nông thôn</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color w:val="000000"/>
                <w:sz w:val="26"/>
                <w:szCs w:val="26"/>
              </w:rPr>
            </w:pPr>
            <w:r w:rsidRPr="00852360">
              <w:rPr>
                <w:rFonts w:ascii="Times New Roman" w:eastAsia="Times New Roman" w:hAnsi="Times New Roman"/>
                <w:bCs w:val="0"/>
                <w:color w:val="000000"/>
                <w:sz w:val="26"/>
                <w:szCs w:val="26"/>
              </w:rPr>
              <w:t>Thống kê đầy đủ tỷ lệ dân số thành thị và nông thôn sử dụng nước sạch</w:t>
            </w: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194</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1805</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dân số được sử dụng nguồn nước hợp vệ sinh</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195</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1806</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dân số sử dụng hố xí hợp vệ sinh</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Tổng cục Thống kê</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66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19. Trật tự, an toàn xã hội và tư pháp</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165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196</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1901</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vụ tai nạn giao thông; số người chết, bị thương do tai nạn giao thông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Công an</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197</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1902</w:t>
            </w:r>
          </w:p>
        </w:tc>
        <w:tc>
          <w:tcPr>
            <w:tcW w:w="2595" w:type="dxa"/>
            <w:shd w:val="clear" w:color="auto" w:fill="auto"/>
            <w:vAlign w:val="center"/>
            <w:hideMark/>
          </w:tcPr>
          <w:p w:rsidR="00B00C57" w:rsidRPr="00D5283B" w:rsidRDefault="00B00C57" w:rsidP="00B00C57">
            <w:pPr>
              <w:spacing w:before="100" w:after="100" w:line="240" w:lineRule="auto"/>
              <w:jc w:val="both"/>
              <w:rPr>
                <w:rFonts w:ascii="Times New Roman" w:eastAsia="Times New Roman" w:hAnsi="Times New Roman"/>
                <w:bCs w:val="0"/>
                <w:strike/>
                <w:sz w:val="26"/>
                <w:szCs w:val="26"/>
              </w:rPr>
            </w:pPr>
            <w:r w:rsidRPr="00D5283B">
              <w:rPr>
                <w:rFonts w:ascii="Times New Roman" w:eastAsia="Times New Roman" w:hAnsi="Times New Roman"/>
                <w:bCs w:val="0"/>
                <w:strike/>
                <w:sz w:val="26"/>
                <w:szCs w:val="26"/>
              </w:rPr>
              <w:t>Số vụ cháy, nổ và mức độ thiệt hại</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D5283B">
              <w:rPr>
                <w:rFonts w:ascii="Times New Roman" w:eastAsia="Times New Roman" w:hAnsi="Times New Roman"/>
                <w:bCs w:val="0"/>
                <w:sz w:val="26"/>
                <w:szCs w:val="26"/>
              </w:rPr>
              <w:lastRenderedPageBreak/>
              <w:t>Số vụ cháy, nổ; số người chết, bị thương và thiệt hại về tài sản do cháy, nổ gây ra</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lastRenderedPageBreak/>
              <w:t>Bộ Công an</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Công an</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D5283B">
              <w:rPr>
                <w:rFonts w:ascii="Times New Roman" w:eastAsia="Times New Roman" w:hAnsi="Times New Roman"/>
                <w:bCs w:val="0"/>
                <w:sz w:val="26"/>
                <w:szCs w:val="26"/>
              </w:rPr>
              <w:t>Bảo đảm rõ ràng, thuận tiện trong quá trình thực hiện thống kê</w:t>
            </w:r>
          </w:p>
        </w:tc>
      </w:tr>
      <w:tr w:rsidR="00B00C57" w:rsidRPr="00852360" w:rsidTr="00E56CEC">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lastRenderedPageBreak/>
              <w:t>198</w:t>
            </w:r>
          </w:p>
        </w:tc>
        <w:tc>
          <w:tcPr>
            <w:tcW w:w="949" w:type="dxa"/>
            <w:vAlign w:val="center"/>
          </w:tcPr>
          <w:p w:rsidR="00B00C57"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tcPr>
          <w:p w:rsidR="00B00C57" w:rsidRPr="00CA6062" w:rsidRDefault="00B00C57" w:rsidP="00B00C57">
            <w:pPr>
              <w:spacing w:before="100" w:after="100" w:line="240" w:lineRule="auto"/>
              <w:jc w:val="both"/>
              <w:rPr>
                <w:rFonts w:ascii="Times New Roman" w:eastAsia="Times New Roman" w:hAnsi="Times New Roman"/>
                <w:bCs w:val="0"/>
                <w:sz w:val="26"/>
                <w:szCs w:val="26"/>
              </w:rPr>
            </w:pPr>
            <w:r w:rsidRPr="00CA6062">
              <w:rPr>
                <w:rFonts w:ascii="Times New Roman" w:eastAsia="Times New Roman" w:hAnsi="Times New Roman"/>
                <w:bCs w:val="0"/>
                <w:sz w:val="26"/>
                <w:szCs w:val="26"/>
              </w:rPr>
              <w:t>Số vụ cứu nạn, cứu hộ; số người cứu được, số thi thể nạn nhân tìm được và số tài sản cứu được</w:t>
            </w:r>
          </w:p>
        </w:tc>
        <w:tc>
          <w:tcPr>
            <w:tcW w:w="2410" w:type="dxa"/>
            <w:shd w:val="clear" w:color="auto" w:fill="auto"/>
            <w:vAlign w:val="center"/>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Công an</w:t>
            </w:r>
          </w:p>
        </w:tc>
        <w:tc>
          <w:tcPr>
            <w:tcW w:w="1984"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Công an</w:t>
            </w:r>
          </w:p>
        </w:tc>
        <w:tc>
          <w:tcPr>
            <w:tcW w:w="1026"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tcPr>
          <w:p w:rsidR="00B00C57" w:rsidRDefault="00B00C57" w:rsidP="00E56CEC">
            <w:pPr>
              <w:jc w:val="center"/>
            </w:pPr>
            <w:r w:rsidRPr="008E558E">
              <w:rPr>
                <w:rFonts w:ascii="Times New Roman" w:eastAsia="Times New Roman" w:hAnsi="Times New Roman"/>
                <w:bCs w:val="0"/>
                <w:sz w:val="26"/>
                <w:szCs w:val="26"/>
              </w:rPr>
              <w:t>×</w:t>
            </w:r>
          </w:p>
        </w:tc>
        <w:tc>
          <w:tcPr>
            <w:tcW w:w="3685" w:type="dxa"/>
            <w:shd w:val="clear" w:color="auto" w:fill="auto"/>
            <w:vAlign w:val="center"/>
          </w:tcPr>
          <w:p w:rsidR="00B00C57" w:rsidRPr="00D5283B" w:rsidRDefault="00B00C57" w:rsidP="00B00C57">
            <w:pPr>
              <w:spacing w:before="100" w:after="100" w:line="240" w:lineRule="auto"/>
              <w:jc w:val="both"/>
              <w:rPr>
                <w:rFonts w:ascii="Times New Roman" w:eastAsia="Times New Roman" w:hAnsi="Times New Roman"/>
                <w:bCs w:val="0"/>
                <w:sz w:val="26"/>
                <w:szCs w:val="26"/>
              </w:rPr>
            </w:pPr>
            <w:r w:rsidRPr="00CA6062">
              <w:rPr>
                <w:rFonts w:ascii="Times New Roman" w:eastAsia="Times New Roman" w:hAnsi="Times New Roman"/>
                <w:bCs w:val="0"/>
                <w:sz w:val="26"/>
                <w:szCs w:val="26"/>
              </w:rPr>
              <w:t>Nghị định số 83/2017/NĐ-CP ngày 18/7/2017 quy định về công tác cứu nạn, cứu hộ của lực lượng phòng cháy và chữa cháy</w:t>
            </w:r>
          </w:p>
        </w:tc>
      </w:tr>
      <w:tr w:rsidR="00B00C57" w:rsidRPr="00852360" w:rsidTr="00E56CEC">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199</w:t>
            </w:r>
          </w:p>
        </w:tc>
        <w:tc>
          <w:tcPr>
            <w:tcW w:w="949" w:type="dxa"/>
            <w:vAlign w:val="center"/>
          </w:tcPr>
          <w:p w:rsidR="00B00C57"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tcPr>
          <w:p w:rsidR="00B00C57" w:rsidRPr="00CA6062" w:rsidRDefault="00002A1D" w:rsidP="00B00C57">
            <w:pPr>
              <w:spacing w:before="100" w:after="100" w:line="240" w:lineRule="auto"/>
              <w:jc w:val="both"/>
              <w:rPr>
                <w:rFonts w:ascii="Times New Roman" w:eastAsia="Times New Roman" w:hAnsi="Times New Roman"/>
                <w:bCs w:val="0"/>
                <w:sz w:val="26"/>
                <w:szCs w:val="26"/>
              </w:rPr>
            </w:pPr>
            <w:r w:rsidRPr="00CA6062">
              <w:rPr>
                <w:rFonts w:ascii="Times New Roman" w:eastAsia="Times New Roman" w:hAnsi="Times New Roman"/>
                <w:bCs w:val="0"/>
                <w:sz w:val="26"/>
                <w:szCs w:val="26"/>
              </w:rPr>
              <w:t>Hệ số an toàn giao thông</w:t>
            </w:r>
            <w:r>
              <w:rPr>
                <w:rFonts w:ascii="Times New Roman" w:eastAsia="Times New Roman" w:hAnsi="Times New Roman"/>
                <w:bCs w:val="0"/>
                <w:sz w:val="26"/>
                <w:szCs w:val="26"/>
              </w:rPr>
              <w:t xml:space="preserve"> đường bộ</w:t>
            </w:r>
          </w:p>
        </w:tc>
        <w:tc>
          <w:tcPr>
            <w:tcW w:w="2410" w:type="dxa"/>
            <w:shd w:val="clear" w:color="auto" w:fill="auto"/>
            <w:vAlign w:val="center"/>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Công an</w:t>
            </w:r>
          </w:p>
        </w:tc>
        <w:tc>
          <w:tcPr>
            <w:tcW w:w="1984"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Công an</w:t>
            </w:r>
          </w:p>
        </w:tc>
        <w:tc>
          <w:tcPr>
            <w:tcW w:w="1026"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tcPr>
          <w:p w:rsidR="00B00C57" w:rsidRDefault="00B00C57" w:rsidP="00E56CEC">
            <w:pPr>
              <w:jc w:val="center"/>
            </w:pPr>
            <w:r w:rsidRPr="008E558E">
              <w:rPr>
                <w:rFonts w:ascii="Times New Roman" w:eastAsia="Times New Roman" w:hAnsi="Times New Roman"/>
                <w:bCs w:val="0"/>
                <w:sz w:val="26"/>
                <w:szCs w:val="26"/>
              </w:rPr>
              <w:t>×</w:t>
            </w:r>
          </w:p>
        </w:tc>
        <w:tc>
          <w:tcPr>
            <w:tcW w:w="3685" w:type="dxa"/>
            <w:shd w:val="clear" w:color="auto" w:fill="auto"/>
            <w:vAlign w:val="center"/>
          </w:tcPr>
          <w:p w:rsidR="00B00C57" w:rsidRPr="00D5283B" w:rsidRDefault="00002A1D" w:rsidP="00B00C57">
            <w:pPr>
              <w:spacing w:before="100" w:after="100" w:line="240" w:lineRule="auto"/>
              <w:jc w:val="both"/>
              <w:rPr>
                <w:rFonts w:ascii="Times New Roman" w:eastAsia="Times New Roman" w:hAnsi="Times New Roman"/>
                <w:bCs w:val="0"/>
                <w:sz w:val="26"/>
                <w:szCs w:val="26"/>
              </w:rPr>
            </w:pPr>
            <w:r w:rsidRPr="00002A1D">
              <w:rPr>
                <w:rFonts w:ascii="Times New Roman" w:eastAsia="Times New Roman" w:hAnsi="Times New Roman"/>
                <w:bCs w:val="0"/>
                <w:sz w:val="26"/>
                <w:szCs w:val="26"/>
              </w:rPr>
              <w:t>Phản ánh mức độ an toàn giao thông đường bộ trong mối liên hệ với quy mô dân số và phương tiện giao thông</w:t>
            </w:r>
            <w:bookmarkStart w:id="0" w:name="_GoBack"/>
            <w:bookmarkEnd w:id="0"/>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200</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1903</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vụ án, số bị can đã khởi tố</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Viện kiểm sát nhân dân tối cao</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201</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1904</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vụ án, số bị can đã truy tố</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Viện kiểm sát nhân dân tối cao</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132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202</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1905</w:t>
            </w:r>
          </w:p>
        </w:tc>
        <w:tc>
          <w:tcPr>
            <w:tcW w:w="2595"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z w:val="26"/>
                <w:szCs w:val="26"/>
              </w:rPr>
              <w:t>S</w:t>
            </w:r>
            <w:r w:rsidRPr="00852360">
              <w:rPr>
                <w:rFonts w:ascii="Times New Roman" w:eastAsia="Times New Roman" w:hAnsi="Times New Roman"/>
                <w:bCs w:val="0"/>
                <w:strike/>
                <w:sz w:val="26"/>
                <w:szCs w:val="26"/>
              </w:rPr>
              <w:t>ố vụ, số người phạm tội đã bị kết án</w:t>
            </w:r>
          </w:p>
          <w:p w:rsidR="00B00C57" w:rsidRPr="00852360" w:rsidRDefault="00B00C57" w:rsidP="00B00C5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 xml:space="preserve">Số vụ, </w:t>
            </w:r>
            <w:r w:rsidR="00EA4C3B">
              <w:rPr>
                <w:rFonts w:ascii="Times New Roman" w:eastAsia="Times New Roman" w:hAnsi="Times New Roman"/>
                <w:bCs w:val="0"/>
                <w:sz w:val="26"/>
                <w:szCs w:val="26"/>
              </w:rPr>
              <w:t xml:space="preserve">số </w:t>
            </w:r>
            <w:r w:rsidRPr="00852360">
              <w:rPr>
                <w:rFonts w:ascii="Times New Roman" w:eastAsia="Times New Roman" w:hAnsi="Times New Roman"/>
                <w:bCs w:val="0"/>
                <w:sz w:val="26"/>
                <w:szCs w:val="26"/>
              </w:rPr>
              <w:t>bị cáo đã xét xử sơ thẩm</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Tòa án nhân dân tối cao</w:t>
            </w:r>
          </w:p>
        </w:tc>
        <w:tc>
          <w:tcPr>
            <w:tcW w:w="1984"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Pr>
                <w:rFonts w:ascii="Times New Roman" w:eastAsia="Times New Roman" w:hAnsi="Times New Roman"/>
                <w:bCs w:val="0"/>
                <w:sz w:val="26"/>
                <w:szCs w:val="26"/>
              </w:rPr>
              <w:t xml:space="preserve">- </w:t>
            </w:r>
            <w:r w:rsidRPr="00852360">
              <w:rPr>
                <w:rFonts w:ascii="Times New Roman" w:eastAsia="Times New Roman" w:hAnsi="Times New Roman"/>
                <w:bCs w:val="0"/>
                <w:sz w:val="26"/>
                <w:szCs w:val="26"/>
              </w:rPr>
              <w:t xml:space="preserve"> Tòa án nhân dân tối cao</w:t>
            </w:r>
            <w:r w:rsidRPr="00852360">
              <w:rPr>
                <w:rFonts w:ascii="Times New Roman" w:eastAsia="Times New Roman" w:hAnsi="Times New Roman"/>
                <w:bCs w:val="0"/>
                <w:sz w:val="26"/>
                <w:szCs w:val="26"/>
              </w:rPr>
              <w:br/>
              <w:t>- Tổng cục Thống kê</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tình hình thực tế và văn bản pháp luật chuyên ngành</w:t>
            </w:r>
          </w:p>
        </w:tc>
      </w:tr>
      <w:tr w:rsidR="00B00C57" w:rsidRPr="00852360" w:rsidTr="009B213B">
        <w:trPr>
          <w:trHeight w:val="1074"/>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lastRenderedPageBreak/>
              <w:t>203</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1906</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dân số từ 15 tuổi trở lên bị bạo lực</w:t>
            </w:r>
          </w:p>
        </w:tc>
        <w:tc>
          <w:tcPr>
            <w:tcW w:w="2410"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Tổng cục Thống kê</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Phối hợp: Bộ Văn hóa, Thể thao và Du lịch</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132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204</w:t>
            </w:r>
          </w:p>
        </w:tc>
        <w:tc>
          <w:tcPr>
            <w:tcW w:w="949" w:type="dxa"/>
            <w:vAlign w:val="center"/>
          </w:tcPr>
          <w:p w:rsidR="00B00C57" w:rsidRPr="00611F6C" w:rsidRDefault="00B00C57" w:rsidP="00B00C57">
            <w:pPr>
              <w:spacing w:before="100" w:after="100" w:line="240" w:lineRule="auto"/>
              <w:jc w:val="center"/>
              <w:rPr>
                <w:rFonts w:ascii="Times New Roman" w:eastAsia="Times New Roman" w:hAnsi="Times New Roman"/>
                <w:bCs w:val="0"/>
                <w:sz w:val="26"/>
                <w:szCs w:val="26"/>
              </w:rPr>
            </w:pPr>
            <w:r w:rsidRPr="00611F6C">
              <w:rPr>
                <w:rFonts w:ascii="Times New Roman" w:eastAsia="Times New Roman" w:hAnsi="Times New Roman"/>
                <w:bCs w:val="0"/>
                <w:sz w:val="26"/>
                <w:szCs w:val="26"/>
              </w:rPr>
              <w:t>1907</w:t>
            </w:r>
          </w:p>
        </w:tc>
        <w:tc>
          <w:tcPr>
            <w:tcW w:w="2595" w:type="dxa"/>
            <w:shd w:val="clear" w:color="auto" w:fill="auto"/>
            <w:vAlign w:val="center"/>
            <w:hideMark/>
          </w:tcPr>
          <w:p w:rsidR="00B00C57" w:rsidRDefault="00B00C57" w:rsidP="00B00C57">
            <w:pPr>
              <w:spacing w:before="100" w:after="100" w:line="240" w:lineRule="auto"/>
              <w:jc w:val="both"/>
              <w:rPr>
                <w:rFonts w:ascii="Times New Roman" w:eastAsia="Times New Roman" w:hAnsi="Times New Roman"/>
                <w:bCs w:val="0"/>
                <w:strike/>
                <w:sz w:val="26"/>
                <w:szCs w:val="26"/>
              </w:rPr>
            </w:pPr>
            <w:r w:rsidRPr="00852360">
              <w:rPr>
                <w:rFonts w:ascii="Times New Roman" w:eastAsia="Times New Roman" w:hAnsi="Times New Roman"/>
                <w:bCs w:val="0"/>
                <w:strike/>
                <w:sz w:val="26"/>
                <w:szCs w:val="26"/>
              </w:rPr>
              <w:t>Số lượt người được trợ giúp pháp lý</w:t>
            </w:r>
          </w:p>
          <w:p w:rsidR="00B00C57" w:rsidRPr="00852360" w:rsidRDefault="00B00C57" w:rsidP="00B00C57">
            <w:pPr>
              <w:spacing w:before="100" w:after="100" w:line="240" w:lineRule="auto"/>
              <w:jc w:val="both"/>
              <w:rPr>
                <w:rFonts w:ascii="Times New Roman" w:eastAsia="Times New Roman" w:hAnsi="Times New Roman"/>
                <w:bCs w:val="0"/>
                <w:i/>
                <w:iCs/>
                <w:sz w:val="26"/>
                <w:szCs w:val="26"/>
              </w:rPr>
            </w:pPr>
            <w:r w:rsidRPr="00852360">
              <w:rPr>
                <w:rFonts w:ascii="Times New Roman" w:eastAsia="Times New Roman" w:hAnsi="Times New Roman"/>
                <w:bCs w:val="0"/>
                <w:sz w:val="26"/>
                <w:szCs w:val="26"/>
              </w:rPr>
              <w:t>Số lượt người đã được trợ giúp pháp lý</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Tư pháp</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Tư pháp</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Phù hợp với tình hình thực tế và văn bản pháp luật chuyên ngành</w:t>
            </w:r>
          </w:p>
        </w:tc>
      </w:tr>
      <w:tr w:rsidR="00B00C57" w:rsidRPr="00852360" w:rsidTr="0095511E">
        <w:trPr>
          <w:trHeight w:val="33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205</w:t>
            </w:r>
          </w:p>
        </w:tc>
        <w:tc>
          <w:tcPr>
            <w:tcW w:w="949" w:type="dxa"/>
            <w:vAlign w:val="center"/>
          </w:tcPr>
          <w:p w:rsidR="00B00C57" w:rsidRPr="00611F6C" w:rsidRDefault="00B00C57" w:rsidP="00B00C57">
            <w:pPr>
              <w:spacing w:before="100" w:after="100" w:line="240" w:lineRule="auto"/>
              <w:jc w:val="center"/>
              <w:rPr>
                <w:rFonts w:ascii="Times New Roman" w:eastAsia="Times New Roman" w:hAnsi="Times New Roman"/>
                <w:bCs w:val="0"/>
                <w:sz w:val="26"/>
                <w:szCs w:val="26"/>
              </w:rPr>
            </w:pPr>
            <w:r w:rsidRPr="00611F6C">
              <w:rPr>
                <w:rFonts w:ascii="Times New Roman" w:eastAsia="Times New Roman" w:hAnsi="Times New Roman"/>
                <w:bCs w:val="0"/>
                <w:sz w:val="26"/>
                <w:szCs w:val="26"/>
              </w:rPr>
              <w:t>1908</w:t>
            </w:r>
          </w:p>
        </w:tc>
        <w:tc>
          <w:tcPr>
            <w:tcW w:w="2595" w:type="dxa"/>
            <w:shd w:val="clear" w:color="auto" w:fill="auto"/>
            <w:vAlign w:val="center"/>
            <w:hideMark/>
          </w:tcPr>
          <w:p w:rsidR="00E56CEC" w:rsidRDefault="00B00C57" w:rsidP="00B00C57">
            <w:pPr>
              <w:spacing w:before="100" w:after="100" w:line="240" w:lineRule="auto"/>
              <w:jc w:val="both"/>
              <w:rPr>
                <w:rFonts w:ascii="Times New Roman" w:eastAsia="Times New Roman" w:hAnsi="Times New Roman"/>
                <w:bCs w:val="0"/>
                <w:strike/>
                <w:sz w:val="26"/>
                <w:szCs w:val="26"/>
              </w:rPr>
            </w:pPr>
            <w:r w:rsidRPr="00BA5696">
              <w:rPr>
                <w:rFonts w:ascii="Times New Roman" w:eastAsia="Times New Roman" w:hAnsi="Times New Roman"/>
                <w:bCs w:val="0"/>
                <w:strike/>
                <w:sz w:val="26"/>
                <w:szCs w:val="26"/>
              </w:rPr>
              <w:t>Kết quả thi hành án dân sự</w:t>
            </w:r>
          </w:p>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Kết quả thi hành án dân sự</w:t>
            </w:r>
            <w:r>
              <w:rPr>
                <w:rFonts w:ascii="Times New Roman" w:eastAsia="Times New Roman" w:hAnsi="Times New Roman"/>
                <w:bCs w:val="0"/>
                <w:sz w:val="26"/>
                <w:szCs w:val="26"/>
              </w:rPr>
              <w:t>, hành chính</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Tư pháp</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Tư pháp</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BA5696">
              <w:rPr>
                <w:rFonts w:ascii="Times New Roman" w:eastAsia="Times New Roman" w:hAnsi="Times New Roman"/>
                <w:bCs w:val="0"/>
                <w:sz w:val="26"/>
                <w:szCs w:val="26"/>
              </w:rPr>
              <w:t>Thực hiện đúng quy định của Luật Tố tụng hành chính</w:t>
            </w:r>
          </w:p>
        </w:tc>
      </w:tr>
      <w:tr w:rsidR="00B00C57" w:rsidRPr="00852360" w:rsidTr="00611F6C">
        <w:trPr>
          <w:trHeight w:val="375"/>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
                <w:sz w:val="26"/>
                <w:szCs w:val="26"/>
              </w:rPr>
            </w:pPr>
            <w:r w:rsidRPr="00852360">
              <w:rPr>
                <w:rFonts w:ascii="Times New Roman" w:eastAsia="Times New Roman" w:hAnsi="Times New Roman"/>
                <w:b/>
                <w:sz w:val="26"/>
                <w:szCs w:val="26"/>
              </w:rPr>
              <w:t>20. Bảo vệ môi trường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660"/>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206</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2001</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Diện tích rừng hiện có</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Nông nghiệp và Phát triển nông thôn</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611F6C">
        <w:trPr>
          <w:trHeight w:val="648"/>
          <w:jc w:val="center"/>
        </w:trPr>
        <w:tc>
          <w:tcPr>
            <w:tcW w:w="70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949" w:type="dxa"/>
            <w:vAlign w:val="center"/>
          </w:tcPr>
          <w:p w:rsidR="00B00C57" w:rsidRPr="00611F6C" w:rsidRDefault="00B00C57" w:rsidP="00B00C57">
            <w:pPr>
              <w:spacing w:before="100" w:after="100" w:line="240" w:lineRule="auto"/>
              <w:jc w:val="center"/>
              <w:rPr>
                <w:rFonts w:ascii="Times New Roman" w:eastAsia="Times New Roman" w:hAnsi="Times New Roman"/>
                <w:bCs w:val="0"/>
                <w:sz w:val="26"/>
                <w:szCs w:val="26"/>
              </w:rPr>
            </w:pPr>
            <w:r w:rsidRPr="00611F6C">
              <w:rPr>
                <w:rFonts w:ascii="Times New Roman" w:eastAsia="Times New Roman" w:hAnsi="Times New Roman"/>
                <w:bCs w:val="0"/>
                <w:sz w:val="26"/>
                <w:szCs w:val="26"/>
              </w:rPr>
              <w:t>2002</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trike/>
                <w:sz w:val="26"/>
                <w:szCs w:val="26"/>
              </w:rPr>
              <w:t>Diện tích rừng được bảo vệ</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Nông nghiệp và Phát triển nông thôn</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Nông nghiệp và Phát triển nông thôn</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Hiện nay, cơ bản diện tích rừng đã được giao cho các chủ rừng (tổ chức, hộ gia đình, cộng đồng) quản lý, đối với diện tích còn lại </w:t>
            </w:r>
            <w:r w:rsidRPr="00852360">
              <w:rPr>
                <w:rFonts w:ascii="Times New Roman" w:eastAsia="Times New Roman" w:hAnsi="Times New Roman"/>
                <w:bCs w:val="0"/>
                <w:sz w:val="26"/>
                <w:szCs w:val="26"/>
              </w:rPr>
              <w:lastRenderedPageBreak/>
              <w:t>hiện Ủy ban nhân dân xã đang được giao trách nhiệm quản lý bảo vệ rừng. Do đó, diện tích rừng được bảo vệ sẽ lấy theo diện tích hiện trạng rừng hằng năm (số liệu lấy theo chỉ tiêu Diện tích rừng hiện có)</w:t>
            </w: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lastRenderedPageBreak/>
              <w:t>207</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2003</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che phủ rừng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Nông nghiệp và Phát triển nông thôn</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66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208</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2004</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vụ thiên tai và mức độ thiệt hại</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Nông nghiệp và Phát triển nông thôn</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88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209</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2005</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
                <w:i/>
                <w:iCs/>
                <w:sz w:val="26"/>
                <w:szCs w:val="26"/>
              </w:rPr>
            </w:pPr>
            <w:r w:rsidRPr="00852360">
              <w:rPr>
                <w:rFonts w:ascii="Times New Roman" w:eastAsia="Times New Roman" w:hAnsi="Times New Roman"/>
                <w:bCs w:val="0"/>
                <w:sz w:val="26"/>
                <w:szCs w:val="26"/>
              </w:rPr>
              <w:t>Tỷ lệ diện tích các khu bảo tồn thiên nhiên</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nguyên và Môi trường</w:t>
            </w:r>
          </w:p>
        </w:tc>
        <w:tc>
          <w:tcPr>
            <w:tcW w:w="1984"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noWrap/>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198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210</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Số khu và diện tích các khu bảo tồn thiên nhiên</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nguyên và Môi trường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Chỉ tiêu này phân tổ trên cạn vả biển để theo dõi mục tiêu trong Chiến lược phát triển kinh tế - xã hội 2021-2030 (mục tiêu "Tăng diện tích các khu bảo tồn biển, ven biển đạt 3 - 5% diện tích tự nhiên vùng biển quốc gia")</w:t>
            </w:r>
          </w:p>
        </w:tc>
      </w:tr>
      <w:tr w:rsidR="00B00C57" w:rsidRPr="00852360" w:rsidTr="0095511E">
        <w:trPr>
          <w:trHeight w:val="99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211</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2006</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Diện tích đất bị thoái hoá</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nguyên và Môi trường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165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lastRenderedPageBreak/>
              <w:t>212</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2007</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chất thải nguy hại được thu gom, xử lý</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Tài nguyên và Môi trường</w:t>
            </w:r>
            <w:r w:rsidRPr="00852360">
              <w:rPr>
                <w:rFonts w:ascii="Times New Roman" w:eastAsia="Times New Roman" w:hAnsi="Times New Roman"/>
                <w:bCs w:val="0"/>
                <w:sz w:val="26"/>
                <w:szCs w:val="26"/>
              </w:rPr>
              <w:br/>
              <w:t>- Phối hợp: Bộ Công thương; Bộ Y tế</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r w:rsidR="00B00C57" w:rsidRPr="00852360" w:rsidTr="0095511E">
        <w:trPr>
          <w:trHeight w:val="165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213</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chất thải rắn sinh hoạt được thu gom, xử lý</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nguyên và Môi trường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nguyên và Môi trường</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Quyết định số 491/QĐ-TTg ngày 07/5/2018 của Thủ tướng Chính phủ phê duyệt điều chỉnh chiến lược quốc gia về quản lý tổng hợp chất thải rắn đến năm 2025, tầm nhìn đến năm 2050</w:t>
            </w:r>
          </w:p>
        </w:tc>
      </w:tr>
      <w:tr w:rsidR="00B00C57" w:rsidRPr="00852360" w:rsidTr="0095511E">
        <w:trPr>
          <w:trHeight w:val="264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214</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Tỷ lệ khu công nghiệp, khu chế xuất, khu công nghệ cao, cụm công nghiệp đang hoạt động có hệ thống xử lý nước thải tập trung đạt tiêu chuẩn môi trường</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Bộ Tài nguyên và Môi trường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 xml:space="preserve">Tổng cục </w:t>
            </w:r>
            <w:r>
              <w:rPr>
                <w:rFonts w:ascii="Times New Roman" w:eastAsia="Times New Roman" w:hAnsi="Times New Roman"/>
                <w:bCs w:val="0"/>
                <w:sz w:val="26"/>
                <w:szCs w:val="26"/>
              </w:rPr>
              <w:br/>
            </w:r>
            <w:r w:rsidRPr="00852360">
              <w:rPr>
                <w:rFonts w:ascii="Times New Roman" w:eastAsia="Times New Roman" w:hAnsi="Times New Roman"/>
                <w:bCs w:val="0"/>
                <w:sz w:val="26"/>
                <w:szCs w:val="26"/>
              </w:rPr>
              <w:t>Thống kê</w:t>
            </w: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D474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Nghị quyết đại hội đại b</w:t>
            </w:r>
            <w:r w:rsidR="00D47457">
              <w:rPr>
                <w:rFonts w:ascii="Times New Roman" w:eastAsia="Times New Roman" w:hAnsi="Times New Roman"/>
                <w:bCs w:val="0"/>
                <w:sz w:val="26"/>
                <w:szCs w:val="26"/>
              </w:rPr>
              <w:t xml:space="preserve">iểu toàn quốc lần thứ XIII  </w:t>
            </w:r>
            <w:r w:rsidRPr="00852360">
              <w:rPr>
                <w:rFonts w:ascii="Times New Roman" w:eastAsia="Times New Roman" w:hAnsi="Times New Roman"/>
                <w:bCs w:val="0"/>
                <w:sz w:val="26"/>
                <w:szCs w:val="26"/>
              </w:rPr>
              <w:t>nêu định hướng các chỉ tiêu chủ yếu về phát triển KTXH 5 năm 2021-2025 trong đó quy định "tỷ lệ khu công nghiệp, khu chế xuất đang hoạt động có hệ thống xử lý nước thải tập trung đạt tiêu chuẩn môi trường là 92%"</w:t>
            </w:r>
          </w:p>
        </w:tc>
      </w:tr>
      <w:tr w:rsidR="00B00C57" w:rsidRPr="00852360" w:rsidTr="0095511E">
        <w:trPr>
          <w:trHeight w:val="4290"/>
          <w:jc w:val="center"/>
        </w:trPr>
        <w:tc>
          <w:tcPr>
            <w:tcW w:w="704" w:type="dxa"/>
            <w:shd w:val="clear" w:color="auto" w:fill="auto"/>
            <w:noWrap/>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lastRenderedPageBreak/>
              <w:t>215</w:t>
            </w:r>
          </w:p>
        </w:tc>
        <w:tc>
          <w:tcPr>
            <w:tcW w:w="949" w:type="dxa"/>
            <w:vAlign w:val="center"/>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Pr>
                <w:rFonts w:ascii="Times New Roman" w:eastAsia="Times New Roman" w:hAnsi="Times New Roman"/>
                <w:bCs w:val="0"/>
                <w:sz w:val="26"/>
                <w:szCs w:val="26"/>
              </w:rPr>
              <w:t>2008</w:t>
            </w:r>
          </w:p>
        </w:tc>
        <w:tc>
          <w:tcPr>
            <w:tcW w:w="259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Lượng phát thải khí nhà kính bình quân đầu người</w:t>
            </w:r>
          </w:p>
        </w:tc>
        <w:tc>
          <w:tcPr>
            <w:tcW w:w="2410"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r w:rsidRPr="00852360">
              <w:rPr>
                <w:rFonts w:ascii="Times New Roman" w:eastAsia="Times New Roman" w:hAnsi="Times New Roman"/>
                <w:bCs w:val="0"/>
                <w:sz w:val="26"/>
                <w:szCs w:val="26"/>
              </w:rPr>
              <w:t>- Chủ trì: Bộ Tài nguyên và Môi trường</w:t>
            </w:r>
            <w:r w:rsidRPr="00852360">
              <w:rPr>
                <w:rFonts w:ascii="Times New Roman" w:eastAsia="Times New Roman" w:hAnsi="Times New Roman"/>
                <w:bCs w:val="0"/>
                <w:sz w:val="26"/>
                <w:szCs w:val="26"/>
              </w:rPr>
              <w:br/>
              <w:t>- Phối hợp: Bộ Kế hoạch và Đầu tư, Bộ Nông nghiệp và Phát triển nông thôn, Bộ Xây dựng, Bộ Công thương, Bộ Giao thông Vận tải, Ủy ban nhân dân các Tỉnh/thành phố trực thuộc Trung ương</w:t>
            </w:r>
          </w:p>
        </w:tc>
        <w:tc>
          <w:tcPr>
            <w:tcW w:w="1984"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1026"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r w:rsidRPr="00852360">
              <w:rPr>
                <w:rFonts w:ascii="Times New Roman" w:eastAsia="Times New Roman" w:hAnsi="Times New Roman"/>
                <w:bCs w:val="0"/>
                <w:sz w:val="26"/>
                <w:szCs w:val="26"/>
              </w:rPr>
              <w:t>×</w:t>
            </w:r>
          </w:p>
        </w:tc>
        <w:tc>
          <w:tcPr>
            <w:tcW w:w="675"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737"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681" w:type="dxa"/>
            <w:shd w:val="clear" w:color="auto" w:fill="auto"/>
            <w:vAlign w:val="center"/>
            <w:hideMark/>
          </w:tcPr>
          <w:p w:rsidR="00B00C57" w:rsidRPr="00852360" w:rsidRDefault="00B00C57" w:rsidP="00B00C57">
            <w:pPr>
              <w:spacing w:before="100" w:after="100" w:line="240" w:lineRule="auto"/>
              <w:jc w:val="center"/>
              <w:rPr>
                <w:rFonts w:ascii="Times New Roman" w:eastAsia="Times New Roman" w:hAnsi="Times New Roman"/>
                <w:bCs w:val="0"/>
                <w:sz w:val="26"/>
                <w:szCs w:val="26"/>
              </w:rPr>
            </w:pPr>
          </w:p>
        </w:tc>
        <w:tc>
          <w:tcPr>
            <w:tcW w:w="3685" w:type="dxa"/>
            <w:shd w:val="clear" w:color="auto" w:fill="auto"/>
            <w:vAlign w:val="center"/>
            <w:hideMark/>
          </w:tcPr>
          <w:p w:rsidR="00B00C57" w:rsidRPr="00852360" w:rsidRDefault="00B00C57" w:rsidP="00B00C57">
            <w:pPr>
              <w:spacing w:before="100" w:after="100" w:line="240" w:lineRule="auto"/>
              <w:jc w:val="both"/>
              <w:rPr>
                <w:rFonts w:ascii="Times New Roman" w:eastAsia="Times New Roman" w:hAnsi="Times New Roman"/>
                <w:bCs w:val="0"/>
                <w:sz w:val="26"/>
                <w:szCs w:val="26"/>
              </w:rPr>
            </w:pPr>
          </w:p>
        </w:tc>
      </w:tr>
    </w:tbl>
    <w:p w:rsidR="00272636" w:rsidRPr="00D63505" w:rsidRDefault="00272636" w:rsidP="005D2325">
      <w:pPr>
        <w:spacing w:after="160" w:line="259" w:lineRule="auto"/>
        <w:rPr>
          <w:rFonts w:ascii="Times New Roman" w:hAnsi="Times New Roman"/>
          <w:b/>
          <w:sz w:val="26"/>
          <w:szCs w:val="26"/>
        </w:rPr>
      </w:pPr>
    </w:p>
    <w:sectPr w:rsidR="00272636" w:rsidRPr="00D63505" w:rsidSect="008F2E47">
      <w:headerReference w:type="default" r:id="rId6"/>
      <w:footerReference w:type="default" r:id="rId7"/>
      <w:headerReference w:type="first" r:id="rId8"/>
      <w:pgSz w:w="16840" w:h="11907" w:orient="landscape" w:code="9"/>
      <w:pgMar w:top="1134" w:right="1134" w:bottom="1134" w:left="1418" w:header="22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8BB" w:rsidRDefault="004138BB" w:rsidP="00CB55BC">
      <w:pPr>
        <w:spacing w:after="0" w:line="240" w:lineRule="auto"/>
      </w:pPr>
      <w:r>
        <w:separator/>
      </w:r>
    </w:p>
  </w:endnote>
  <w:endnote w:type="continuationSeparator" w:id="0">
    <w:p w:rsidR="004138BB" w:rsidRDefault="004138BB" w:rsidP="00CB5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716995"/>
      <w:docPartObj>
        <w:docPartGallery w:val="Page Numbers (Bottom of Page)"/>
        <w:docPartUnique/>
      </w:docPartObj>
    </w:sdtPr>
    <w:sdtEndPr>
      <w:rPr>
        <w:noProof/>
      </w:rPr>
    </w:sdtEndPr>
    <w:sdtContent>
      <w:p w:rsidR="00083A23" w:rsidRDefault="004138BB">
        <w:pPr>
          <w:pStyle w:val="Footer"/>
          <w:jc w:val="right"/>
        </w:pPr>
      </w:p>
    </w:sdtContent>
  </w:sdt>
  <w:p w:rsidR="00083A23" w:rsidRDefault="00083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8BB" w:rsidRDefault="004138BB" w:rsidP="00CB55BC">
      <w:pPr>
        <w:spacing w:after="0" w:line="240" w:lineRule="auto"/>
      </w:pPr>
      <w:r>
        <w:separator/>
      </w:r>
    </w:p>
  </w:footnote>
  <w:footnote w:type="continuationSeparator" w:id="0">
    <w:p w:rsidR="004138BB" w:rsidRDefault="004138BB" w:rsidP="00CB5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506286613"/>
      <w:docPartObj>
        <w:docPartGallery w:val="Page Numbers (Top of Page)"/>
        <w:docPartUnique/>
      </w:docPartObj>
    </w:sdtPr>
    <w:sdtEndPr>
      <w:rPr>
        <w:noProof/>
      </w:rPr>
    </w:sdtEndPr>
    <w:sdtContent>
      <w:p w:rsidR="00083A23" w:rsidRPr="00F04541" w:rsidRDefault="00083A23">
        <w:pPr>
          <w:pStyle w:val="Header"/>
          <w:jc w:val="center"/>
          <w:rPr>
            <w:rFonts w:ascii="Times New Roman" w:hAnsi="Times New Roman"/>
          </w:rPr>
        </w:pPr>
        <w:r w:rsidRPr="00F04541">
          <w:rPr>
            <w:rFonts w:ascii="Times New Roman" w:hAnsi="Times New Roman"/>
          </w:rPr>
          <w:fldChar w:fldCharType="begin"/>
        </w:r>
        <w:r w:rsidRPr="00F04541">
          <w:rPr>
            <w:rFonts w:ascii="Times New Roman" w:hAnsi="Times New Roman"/>
          </w:rPr>
          <w:instrText xml:space="preserve"> PAGE   \* MERGEFORMAT </w:instrText>
        </w:r>
        <w:r w:rsidRPr="00F04541">
          <w:rPr>
            <w:rFonts w:ascii="Times New Roman" w:hAnsi="Times New Roman"/>
          </w:rPr>
          <w:fldChar w:fldCharType="separate"/>
        </w:r>
        <w:r w:rsidR="00002A1D">
          <w:rPr>
            <w:rFonts w:ascii="Times New Roman" w:hAnsi="Times New Roman"/>
            <w:noProof/>
          </w:rPr>
          <w:t>51</w:t>
        </w:r>
        <w:r w:rsidRPr="00F04541">
          <w:rPr>
            <w:rFonts w:ascii="Times New Roman" w:hAnsi="Times New Roman"/>
            <w:noProof/>
          </w:rPr>
          <w:fldChar w:fldCharType="end"/>
        </w:r>
      </w:p>
    </w:sdtContent>
  </w:sdt>
  <w:p w:rsidR="00083A23" w:rsidRPr="00F04541" w:rsidRDefault="00083A23">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23" w:rsidRDefault="00083A23">
    <w:pPr>
      <w:pStyle w:val="Header"/>
      <w:jc w:val="center"/>
    </w:pPr>
  </w:p>
  <w:p w:rsidR="00083A23" w:rsidRDefault="00083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B3"/>
    <w:rsid w:val="000021FF"/>
    <w:rsid w:val="00002A1D"/>
    <w:rsid w:val="00004DC3"/>
    <w:rsid w:val="00011445"/>
    <w:rsid w:val="00011E9C"/>
    <w:rsid w:val="00016051"/>
    <w:rsid w:val="00036C24"/>
    <w:rsid w:val="00062255"/>
    <w:rsid w:val="00064721"/>
    <w:rsid w:val="000731E3"/>
    <w:rsid w:val="000803A4"/>
    <w:rsid w:val="00083A23"/>
    <w:rsid w:val="00083A9B"/>
    <w:rsid w:val="00091882"/>
    <w:rsid w:val="00092419"/>
    <w:rsid w:val="00093775"/>
    <w:rsid w:val="000A20F4"/>
    <w:rsid w:val="000B5977"/>
    <w:rsid w:val="000C3B5D"/>
    <w:rsid w:val="000E05C2"/>
    <w:rsid w:val="000E30F4"/>
    <w:rsid w:val="000E3B9E"/>
    <w:rsid w:val="000E5FC7"/>
    <w:rsid w:val="000E7E98"/>
    <w:rsid w:val="00102DC6"/>
    <w:rsid w:val="00104F8A"/>
    <w:rsid w:val="00114E1A"/>
    <w:rsid w:val="00127967"/>
    <w:rsid w:val="00127D20"/>
    <w:rsid w:val="00130BD6"/>
    <w:rsid w:val="00132D1A"/>
    <w:rsid w:val="001476E5"/>
    <w:rsid w:val="001606D2"/>
    <w:rsid w:val="00160F7E"/>
    <w:rsid w:val="00161588"/>
    <w:rsid w:val="001651FB"/>
    <w:rsid w:val="001732F5"/>
    <w:rsid w:val="0018323F"/>
    <w:rsid w:val="00185E4D"/>
    <w:rsid w:val="001862B1"/>
    <w:rsid w:val="001A3168"/>
    <w:rsid w:val="001B2AA9"/>
    <w:rsid w:val="001B76F8"/>
    <w:rsid w:val="001C0798"/>
    <w:rsid w:val="001C4D50"/>
    <w:rsid w:val="001D054A"/>
    <w:rsid w:val="001D4376"/>
    <w:rsid w:val="001E7F0F"/>
    <w:rsid w:val="001F485E"/>
    <w:rsid w:val="0020377A"/>
    <w:rsid w:val="00205A77"/>
    <w:rsid w:val="00205D9C"/>
    <w:rsid w:val="0021151B"/>
    <w:rsid w:val="002244D4"/>
    <w:rsid w:val="00226F00"/>
    <w:rsid w:val="0023051F"/>
    <w:rsid w:val="00232414"/>
    <w:rsid w:val="002502B9"/>
    <w:rsid w:val="00254F70"/>
    <w:rsid w:val="00266530"/>
    <w:rsid w:val="00267813"/>
    <w:rsid w:val="0027244D"/>
    <w:rsid w:val="00272636"/>
    <w:rsid w:val="00274E31"/>
    <w:rsid w:val="0028272B"/>
    <w:rsid w:val="002915F2"/>
    <w:rsid w:val="002A3C9E"/>
    <w:rsid w:val="002A4C92"/>
    <w:rsid w:val="002C15B0"/>
    <w:rsid w:val="002D0736"/>
    <w:rsid w:val="002D4C2E"/>
    <w:rsid w:val="00300008"/>
    <w:rsid w:val="00301C23"/>
    <w:rsid w:val="00306017"/>
    <w:rsid w:val="003169EC"/>
    <w:rsid w:val="00320931"/>
    <w:rsid w:val="00324555"/>
    <w:rsid w:val="0033216D"/>
    <w:rsid w:val="003413C8"/>
    <w:rsid w:val="003578A6"/>
    <w:rsid w:val="00357A80"/>
    <w:rsid w:val="00360133"/>
    <w:rsid w:val="00361786"/>
    <w:rsid w:val="00372389"/>
    <w:rsid w:val="003724D1"/>
    <w:rsid w:val="0037428D"/>
    <w:rsid w:val="003801FA"/>
    <w:rsid w:val="00390841"/>
    <w:rsid w:val="003B1BB0"/>
    <w:rsid w:val="003C3172"/>
    <w:rsid w:val="003C4759"/>
    <w:rsid w:val="003C7C08"/>
    <w:rsid w:val="003E2FC2"/>
    <w:rsid w:val="003E3161"/>
    <w:rsid w:val="003E5203"/>
    <w:rsid w:val="003F1ACE"/>
    <w:rsid w:val="003F3B75"/>
    <w:rsid w:val="00412296"/>
    <w:rsid w:val="004138BB"/>
    <w:rsid w:val="0041527B"/>
    <w:rsid w:val="004176A0"/>
    <w:rsid w:val="00425268"/>
    <w:rsid w:val="004375A4"/>
    <w:rsid w:val="004379F8"/>
    <w:rsid w:val="00437E49"/>
    <w:rsid w:val="00447A85"/>
    <w:rsid w:val="00452B90"/>
    <w:rsid w:val="0045324A"/>
    <w:rsid w:val="004556DF"/>
    <w:rsid w:val="0046795E"/>
    <w:rsid w:val="0047007A"/>
    <w:rsid w:val="00477718"/>
    <w:rsid w:val="00484537"/>
    <w:rsid w:val="00486D17"/>
    <w:rsid w:val="00487198"/>
    <w:rsid w:val="00495690"/>
    <w:rsid w:val="00495BB0"/>
    <w:rsid w:val="004A0B2A"/>
    <w:rsid w:val="004B20E4"/>
    <w:rsid w:val="004B33FD"/>
    <w:rsid w:val="004C3015"/>
    <w:rsid w:val="004D1123"/>
    <w:rsid w:val="004E0FE3"/>
    <w:rsid w:val="00501A3D"/>
    <w:rsid w:val="00512E88"/>
    <w:rsid w:val="00530161"/>
    <w:rsid w:val="005338B0"/>
    <w:rsid w:val="00535B68"/>
    <w:rsid w:val="0053639D"/>
    <w:rsid w:val="005366A3"/>
    <w:rsid w:val="00536D55"/>
    <w:rsid w:val="005558DB"/>
    <w:rsid w:val="00556C7E"/>
    <w:rsid w:val="005606FC"/>
    <w:rsid w:val="00565621"/>
    <w:rsid w:val="00570EC6"/>
    <w:rsid w:val="00587B09"/>
    <w:rsid w:val="005973C4"/>
    <w:rsid w:val="005A2379"/>
    <w:rsid w:val="005A2E9B"/>
    <w:rsid w:val="005B187D"/>
    <w:rsid w:val="005C2E39"/>
    <w:rsid w:val="005C76DA"/>
    <w:rsid w:val="005D0A66"/>
    <w:rsid w:val="005D2325"/>
    <w:rsid w:val="005D62B2"/>
    <w:rsid w:val="005D6722"/>
    <w:rsid w:val="005E26BA"/>
    <w:rsid w:val="005E4579"/>
    <w:rsid w:val="005F40FD"/>
    <w:rsid w:val="005F7BBB"/>
    <w:rsid w:val="006041FD"/>
    <w:rsid w:val="00611C22"/>
    <w:rsid w:val="00611F6C"/>
    <w:rsid w:val="00613DFC"/>
    <w:rsid w:val="00614E5C"/>
    <w:rsid w:val="006218E3"/>
    <w:rsid w:val="0062330D"/>
    <w:rsid w:val="00623CCD"/>
    <w:rsid w:val="006335E7"/>
    <w:rsid w:val="00634968"/>
    <w:rsid w:val="00647CA0"/>
    <w:rsid w:val="00652F1C"/>
    <w:rsid w:val="00665431"/>
    <w:rsid w:val="00666C91"/>
    <w:rsid w:val="00684BAE"/>
    <w:rsid w:val="00686A85"/>
    <w:rsid w:val="006A394F"/>
    <w:rsid w:val="006A7D6F"/>
    <w:rsid w:val="006B4312"/>
    <w:rsid w:val="006E3FEF"/>
    <w:rsid w:val="00700DFC"/>
    <w:rsid w:val="00705EF3"/>
    <w:rsid w:val="0071719C"/>
    <w:rsid w:val="00721920"/>
    <w:rsid w:val="007231A3"/>
    <w:rsid w:val="0073336F"/>
    <w:rsid w:val="00742951"/>
    <w:rsid w:val="00742E32"/>
    <w:rsid w:val="00752240"/>
    <w:rsid w:val="007560C1"/>
    <w:rsid w:val="007830DC"/>
    <w:rsid w:val="007834EB"/>
    <w:rsid w:val="00794B6C"/>
    <w:rsid w:val="007978F7"/>
    <w:rsid w:val="007A30A9"/>
    <w:rsid w:val="007A592D"/>
    <w:rsid w:val="007D6C8F"/>
    <w:rsid w:val="007E4A99"/>
    <w:rsid w:val="00804AD4"/>
    <w:rsid w:val="00813979"/>
    <w:rsid w:val="008220AA"/>
    <w:rsid w:val="00827EC1"/>
    <w:rsid w:val="00827ED4"/>
    <w:rsid w:val="008327AE"/>
    <w:rsid w:val="0083344A"/>
    <w:rsid w:val="00847470"/>
    <w:rsid w:val="008509FC"/>
    <w:rsid w:val="00852360"/>
    <w:rsid w:val="008577B6"/>
    <w:rsid w:val="00860275"/>
    <w:rsid w:val="008625CC"/>
    <w:rsid w:val="00867431"/>
    <w:rsid w:val="008777B4"/>
    <w:rsid w:val="008B0CFF"/>
    <w:rsid w:val="008B5744"/>
    <w:rsid w:val="008D00DE"/>
    <w:rsid w:val="008D0395"/>
    <w:rsid w:val="008D3D43"/>
    <w:rsid w:val="008D7714"/>
    <w:rsid w:val="008E3454"/>
    <w:rsid w:val="008F2E47"/>
    <w:rsid w:val="00901FEE"/>
    <w:rsid w:val="009045BF"/>
    <w:rsid w:val="00906124"/>
    <w:rsid w:val="00914967"/>
    <w:rsid w:val="00917824"/>
    <w:rsid w:val="009240EF"/>
    <w:rsid w:val="0092448A"/>
    <w:rsid w:val="00924663"/>
    <w:rsid w:val="00933D3C"/>
    <w:rsid w:val="0095511E"/>
    <w:rsid w:val="00955198"/>
    <w:rsid w:val="00957A91"/>
    <w:rsid w:val="00961813"/>
    <w:rsid w:val="00966819"/>
    <w:rsid w:val="009717CC"/>
    <w:rsid w:val="00976245"/>
    <w:rsid w:val="00984D3B"/>
    <w:rsid w:val="009B213B"/>
    <w:rsid w:val="009D0FEB"/>
    <w:rsid w:val="009D2445"/>
    <w:rsid w:val="009D52DC"/>
    <w:rsid w:val="009E0CC0"/>
    <w:rsid w:val="009E2E5C"/>
    <w:rsid w:val="009F20B3"/>
    <w:rsid w:val="009F7242"/>
    <w:rsid w:val="00A04AD5"/>
    <w:rsid w:val="00A066B0"/>
    <w:rsid w:val="00A130B4"/>
    <w:rsid w:val="00A15230"/>
    <w:rsid w:val="00A166BC"/>
    <w:rsid w:val="00A31C30"/>
    <w:rsid w:val="00A31CE4"/>
    <w:rsid w:val="00A31CFC"/>
    <w:rsid w:val="00A31F93"/>
    <w:rsid w:val="00A3299F"/>
    <w:rsid w:val="00A33D7B"/>
    <w:rsid w:val="00A3615C"/>
    <w:rsid w:val="00A36620"/>
    <w:rsid w:val="00A422E3"/>
    <w:rsid w:val="00A43F6C"/>
    <w:rsid w:val="00A46597"/>
    <w:rsid w:val="00A554E7"/>
    <w:rsid w:val="00A61584"/>
    <w:rsid w:val="00A63ADE"/>
    <w:rsid w:val="00A73C62"/>
    <w:rsid w:val="00A80BF9"/>
    <w:rsid w:val="00A817C7"/>
    <w:rsid w:val="00A824D0"/>
    <w:rsid w:val="00A943BB"/>
    <w:rsid w:val="00A96641"/>
    <w:rsid w:val="00AB0D6C"/>
    <w:rsid w:val="00AC3C2E"/>
    <w:rsid w:val="00AE42B6"/>
    <w:rsid w:val="00AF4546"/>
    <w:rsid w:val="00AF6D20"/>
    <w:rsid w:val="00B00C57"/>
    <w:rsid w:val="00B03D22"/>
    <w:rsid w:val="00B104A1"/>
    <w:rsid w:val="00B125D8"/>
    <w:rsid w:val="00B30C8F"/>
    <w:rsid w:val="00B364F6"/>
    <w:rsid w:val="00B36F0B"/>
    <w:rsid w:val="00B4041F"/>
    <w:rsid w:val="00B405FD"/>
    <w:rsid w:val="00B451BC"/>
    <w:rsid w:val="00B45D05"/>
    <w:rsid w:val="00B46BF3"/>
    <w:rsid w:val="00B541C7"/>
    <w:rsid w:val="00B55F7C"/>
    <w:rsid w:val="00B56EB1"/>
    <w:rsid w:val="00B61DF4"/>
    <w:rsid w:val="00B6360A"/>
    <w:rsid w:val="00B63E24"/>
    <w:rsid w:val="00B65B69"/>
    <w:rsid w:val="00B67E56"/>
    <w:rsid w:val="00B72140"/>
    <w:rsid w:val="00B94931"/>
    <w:rsid w:val="00B96440"/>
    <w:rsid w:val="00B97285"/>
    <w:rsid w:val="00BA5696"/>
    <w:rsid w:val="00BA740C"/>
    <w:rsid w:val="00BB309E"/>
    <w:rsid w:val="00BB381C"/>
    <w:rsid w:val="00BB4AD9"/>
    <w:rsid w:val="00BB59C2"/>
    <w:rsid w:val="00BC4E46"/>
    <w:rsid w:val="00BD3349"/>
    <w:rsid w:val="00BD55C1"/>
    <w:rsid w:val="00BD5B48"/>
    <w:rsid w:val="00BE62FA"/>
    <w:rsid w:val="00BF19A9"/>
    <w:rsid w:val="00BF2728"/>
    <w:rsid w:val="00C031F4"/>
    <w:rsid w:val="00C12C41"/>
    <w:rsid w:val="00C173F8"/>
    <w:rsid w:val="00C21EC7"/>
    <w:rsid w:val="00C3452F"/>
    <w:rsid w:val="00C4401D"/>
    <w:rsid w:val="00C60F3C"/>
    <w:rsid w:val="00C8353A"/>
    <w:rsid w:val="00C85199"/>
    <w:rsid w:val="00CA157F"/>
    <w:rsid w:val="00CA3D26"/>
    <w:rsid w:val="00CA6062"/>
    <w:rsid w:val="00CB0AD2"/>
    <w:rsid w:val="00CB11A7"/>
    <w:rsid w:val="00CB1D70"/>
    <w:rsid w:val="00CB31B7"/>
    <w:rsid w:val="00CB55BC"/>
    <w:rsid w:val="00CB6527"/>
    <w:rsid w:val="00CC2752"/>
    <w:rsid w:val="00CC760D"/>
    <w:rsid w:val="00CD0813"/>
    <w:rsid w:val="00CD0B87"/>
    <w:rsid w:val="00CD12EE"/>
    <w:rsid w:val="00CD47D6"/>
    <w:rsid w:val="00CD57FE"/>
    <w:rsid w:val="00CE5C3A"/>
    <w:rsid w:val="00CF589F"/>
    <w:rsid w:val="00D02450"/>
    <w:rsid w:val="00D11427"/>
    <w:rsid w:val="00D16601"/>
    <w:rsid w:val="00D21A4A"/>
    <w:rsid w:val="00D47457"/>
    <w:rsid w:val="00D51256"/>
    <w:rsid w:val="00D5283B"/>
    <w:rsid w:val="00D54199"/>
    <w:rsid w:val="00D56635"/>
    <w:rsid w:val="00D63505"/>
    <w:rsid w:val="00D637B3"/>
    <w:rsid w:val="00D664B4"/>
    <w:rsid w:val="00D67970"/>
    <w:rsid w:val="00D72233"/>
    <w:rsid w:val="00D735E3"/>
    <w:rsid w:val="00D80A6E"/>
    <w:rsid w:val="00D8612C"/>
    <w:rsid w:val="00D921F4"/>
    <w:rsid w:val="00DA2CC1"/>
    <w:rsid w:val="00DB7D27"/>
    <w:rsid w:val="00DD5BC5"/>
    <w:rsid w:val="00DD762D"/>
    <w:rsid w:val="00DE62C4"/>
    <w:rsid w:val="00DF1547"/>
    <w:rsid w:val="00DF25A9"/>
    <w:rsid w:val="00DF4270"/>
    <w:rsid w:val="00DF58CE"/>
    <w:rsid w:val="00DF6364"/>
    <w:rsid w:val="00DF745B"/>
    <w:rsid w:val="00E018DC"/>
    <w:rsid w:val="00E03DCB"/>
    <w:rsid w:val="00E07CE7"/>
    <w:rsid w:val="00E12A44"/>
    <w:rsid w:val="00E203D9"/>
    <w:rsid w:val="00E20B1C"/>
    <w:rsid w:val="00E22DBB"/>
    <w:rsid w:val="00E256BB"/>
    <w:rsid w:val="00E54198"/>
    <w:rsid w:val="00E56CEC"/>
    <w:rsid w:val="00E67AC3"/>
    <w:rsid w:val="00E714A8"/>
    <w:rsid w:val="00E71FBC"/>
    <w:rsid w:val="00E91416"/>
    <w:rsid w:val="00E9250C"/>
    <w:rsid w:val="00E945EB"/>
    <w:rsid w:val="00E96DFA"/>
    <w:rsid w:val="00E97E96"/>
    <w:rsid w:val="00EA4C3B"/>
    <w:rsid w:val="00EB4A39"/>
    <w:rsid w:val="00EB7D72"/>
    <w:rsid w:val="00ED7F40"/>
    <w:rsid w:val="00F04541"/>
    <w:rsid w:val="00F16A8E"/>
    <w:rsid w:val="00F16AD5"/>
    <w:rsid w:val="00F2116D"/>
    <w:rsid w:val="00F3496F"/>
    <w:rsid w:val="00F372CE"/>
    <w:rsid w:val="00F47C68"/>
    <w:rsid w:val="00F537F4"/>
    <w:rsid w:val="00F57552"/>
    <w:rsid w:val="00F62AF9"/>
    <w:rsid w:val="00F674ED"/>
    <w:rsid w:val="00F712F0"/>
    <w:rsid w:val="00F71F1E"/>
    <w:rsid w:val="00F8716F"/>
    <w:rsid w:val="00F93882"/>
    <w:rsid w:val="00FA148C"/>
    <w:rsid w:val="00FA7B92"/>
    <w:rsid w:val="00FB3E47"/>
    <w:rsid w:val="00FB646C"/>
    <w:rsid w:val="00FB6D62"/>
    <w:rsid w:val="00FC124E"/>
    <w:rsid w:val="00FC12C1"/>
    <w:rsid w:val="00FC6DFC"/>
    <w:rsid w:val="00FE1783"/>
    <w:rsid w:val="00FF1C87"/>
    <w:rsid w:val="00FF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75020-CFC5-4C41-8497-EA61008F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7B3"/>
    <w:pPr>
      <w:spacing w:after="200" w:line="276" w:lineRule="auto"/>
    </w:pPr>
    <w:rPr>
      <w:rFonts w:ascii="Calibri" w:eastAsia="Calibri" w:hAnsi="Calibri"/>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7B3"/>
    <w:pPr>
      <w:spacing w:after="0" w:line="240" w:lineRule="auto"/>
    </w:pPr>
    <w:rPr>
      <w:rFonts w:ascii="Calibri" w:eastAsia="Calibri" w:hAnsi="Calibri"/>
      <w:bCs/>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57A91"/>
    <w:pPr>
      <w:ind w:left="720"/>
      <w:contextualSpacing/>
    </w:pPr>
  </w:style>
  <w:style w:type="paragraph" w:styleId="Header">
    <w:name w:val="header"/>
    <w:basedOn w:val="Normal"/>
    <w:link w:val="HeaderChar"/>
    <w:uiPriority w:val="99"/>
    <w:unhideWhenUsed/>
    <w:rsid w:val="00CB5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5BC"/>
    <w:rPr>
      <w:rFonts w:ascii="Calibri" w:eastAsia="Calibri" w:hAnsi="Calibri"/>
      <w:bCs/>
      <w:color w:val="auto"/>
      <w:sz w:val="22"/>
      <w:szCs w:val="22"/>
    </w:rPr>
  </w:style>
  <w:style w:type="paragraph" w:styleId="Footer">
    <w:name w:val="footer"/>
    <w:basedOn w:val="Normal"/>
    <w:link w:val="FooterChar"/>
    <w:uiPriority w:val="99"/>
    <w:unhideWhenUsed/>
    <w:rsid w:val="00CB5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5BC"/>
    <w:rPr>
      <w:rFonts w:ascii="Calibri" w:eastAsia="Calibri" w:hAnsi="Calibri"/>
      <w:bCs/>
      <w:color w:val="auto"/>
      <w:sz w:val="22"/>
      <w:szCs w:val="22"/>
    </w:rPr>
  </w:style>
  <w:style w:type="paragraph" w:styleId="BalloonText">
    <w:name w:val="Balloon Text"/>
    <w:basedOn w:val="Normal"/>
    <w:link w:val="BalloonTextChar"/>
    <w:uiPriority w:val="99"/>
    <w:semiHidden/>
    <w:unhideWhenUsed/>
    <w:rsid w:val="00E20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B1C"/>
    <w:rPr>
      <w:rFonts w:ascii="Segoe UI" w:eastAsia="Calibri" w:hAnsi="Segoe UI" w:cs="Segoe UI"/>
      <w:bCs/>
      <w:color w:val="auto"/>
      <w:sz w:val="18"/>
      <w:szCs w:val="18"/>
    </w:rPr>
  </w:style>
  <w:style w:type="paragraph" w:styleId="NormalWeb">
    <w:name w:val="Normal (Web)"/>
    <w:basedOn w:val="Normal"/>
    <w:uiPriority w:val="99"/>
    <w:semiHidden/>
    <w:unhideWhenUsed/>
    <w:rsid w:val="00D921F4"/>
    <w:pPr>
      <w:spacing w:before="100" w:beforeAutospacing="1" w:after="100" w:afterAutospacing="1" w:line="240" w:lineRule="auto"/>
    </w:pPr>
    <w:rPr>
      <w:rFonts w:ascii="Times New Roman" w:eastAsia="Times New Roman" w:hAnsi="Times New Roman"/>
      <w:bCs w:val="0"/>
      <w:sz w:val="24"/>
      <w:szCs w:val="24"/>
    </w:rPr>
  </w:style>
  <w:style w:type="character" w:styleId="Hyperlink">
    <w:name w:val="Hyperlink"/>
    <w:basedOn w:val="DefaultParagraphFont"/>
    <w:uiPriority w:val="99"/>
    <w:semiHidden/>
    <w:unhideWhenUsed/>
    <w:rsid w:val="00B67E56"/>
    <w:rPr>
      <w:color w:val="0563C1"/>
      <w:u w:val="single"/>
    </w:rPr>
  </w:style>
  <w:style w:type="character" w:styleId="FollowedHyperlink">
    <w:name w:val="FollowedHyperlink"/>
    <w:basedOn w:val="DefaultParagraphFont"/>
    <w:uiPriority w:val="99"/>
    <w:semiHidden/>
    <w:unhideWhenUsed/>
    <w:rsid w:val="00B67E56"/>
    <w:rPr>
      <w:color w:val="954F72"/>
      <w:u w:val="single"/>
    </w:rPr>
  </w:style>
  <w:style w:type="paragraph" w:customStyle="1" w:styleId="font5">
    <w:name w:val="font5"/>
    <w:basedOn w:val="Normal"/>
    <w:rsid w:val="00B67E56"/>
    <w:pPr>
      <w:spacing w:before="100" w:beforeAutospacing="1" w:after="100" w:afterAutospacing="1" w:line="240" w:lineRule="auto"/>
    </w:pPr>
    <w:rPr>
      <w:rFonts w:ascii="Tahoma" w:eastAsia="Times New Roman" w:hAnsi="Tahoma" w:cs="Tahoma"/>
      <w:bCs w:val="0"/>
      <w:color w:val="000000"/>
      <w:sz w:val="18"/>
      <w:szCs w:val="18"/>
    </w:rPr>
  </w:style>
  <w:style w:type="paragraph" w:customStyle="1" w:styleId="font6">
    <w:name w:val="font6"/>
    <w:basedOn w:val="Normal"/>
    <w:rsid w:val="00B67E56"/>
    <w:pPr>
      <w:spacing w:before="100" w:beforeAutospacing="1" w:after="100" w:afterAutospacing="1" w:line="240" w:lineRule="auto"/>
    </w:pPr>
    <w:rPr>
      <w:rFonts w:ascii="Tahoma" w:eastAsia="Times New Roman" w:hAnsi="Tahoma" w:cs="Tahoma"/>
      <w:b/>
      <w:color w:val="000000"/>
      <w:sz w:val="18"/>
      <w:szCs w:val="18"/>
    </w:rPr>
  </w:style>
  <w:style w:type="paragraph" w:customStyle="1" w:styleId="font7">
    <w:name w:val="font7"/>
    <w:basedOn w:val="Normal"/>
    <w:rsid w:val="00B67E56"/>
    <w:pPr>
      <w:spacing w:before="100" w:beforeAutospacing="1" w:after="100" w:afterAutospacing="1" w:line="240" w:lineRule="auto"/>
    </w:pPr>
    <w:rPr>
      <w:rFonts w:ascii="Times New Roman" w:eastAsia="Times New Roman" w:hAnsi="Times New Roman"/>
      <w:b/>
      <w:i/>
      <w:iCs/>
      <w:sz w:val="26"/>
      <w:szCs w:val="26"/>
    </w:rPr>
  </w:style>
  <w:style w:type="paragraph" w:customStyle="1" w:styleId="font8">
    <w:name w:val="font8"/>
    <w:basedOn w:val="Normal"/>
    <w:rsid w:val="00B67E56"/>
    <w:pPr>
      <w:spacing w:before="100" w:beforeAutospacing="1" w:after="100" w:afterAutospacing="1" w:line="240" w:lineRule="auto"/>
    </w:pPr>
    <w:rPr>
      <w:rFonts w:ascii="Times New Roman" w:eastAsia="Times New Roman" w:hAnsi="Times New Roman"/>
      <w:bCs w:val="0"/>
      <w:sz w:val="26"/>
      <w:szCs w:val="26"/>
    </w:rPr>
  </w:style>
  <w:style w:type="paragraph" w:customStyle="1" w:styleId="font9">
    <w:name w:val="font9"/>
    <w:basedOn w:val="Normal"/>
    <w:rsid w:val="00B67E56"/>
    <w:pPr>
      <w:spacing w:before="100" w:beforeAutospacing="1" w:after="100" w:afterAutospacing="1" w:line="240" w:lineRule="auto"/>
    </w:pPr>
    <w:rPr>
      <w:rFonts w:ascii="Times New Roman" w:eastAsia="Times New Roman" w:hAnsi="Times New Roman"/>
      <w:bCs w:val="0"/>
      <w:sz w:val="26"/>
      <w:szCs w:val="26"/>
    </w:rPr>
  </w:style>
  <w:style w:type="paragraph" w:customStyle="1" w:styleId="font10">
    <w:name w:val="font10"/>
    <w:basedOn w:val="Normal"/>
    <w:rsid w:val="00B67E56"/>
    <w:pPr>
      <w:spacing w:before="100" w:beforeAutospacing="1" w:after="100" w:afterAutospacing="1" w:line="240" w:lineRule="auto"/>
    </w:pPr>
    <w:rPr>
      <w:rFonts w:ascii="Times New Roman" w:eastAsia="Times New Roman" w:hAnsi="Times New Roman"/>
      <w:b/>
      <w:sz w:val="26"/>
      <w:szCs w:val="26"/>
    </w:rPr>
  </w:style>
  <w:style w:type="paragraph" w:customStyle="1" w:styleId="font11">
    <w:name w:val="font11"/>
    <w:basedOn w:val="Normal"/>
    <w:rsid w:val="00B67E56"/>
    <w:pPr>
      <w:spacing w:before="100" w:beforeAutospacing="1" w:after="100" w:afterAutospacing="1" w:line="240" w:lineRule="auto"/>
    </w:pPr>
    <w:rPr>
      <w:rFonts w:ascii="Times New Roman" w:eastAsia="Times New Roman" w:hAnsi="Times New Roman"/>
      <w:bCs w:val="0"/>
      <w:i/>
      <w:iCs/>
      <w:sz w:val="26"/>
      <w:szCs w:val="26"/>
    </w:rPr>
  </w:style>
  <w:style w:type="paragraph" w:customStyle="1" w:styleId="font12">
    <w:name w:val="font12"/>
    <w:basedOn w:val="Normal"/>
    <w:rsid w:val="00B67E56"/>
    <w:pPr>
      <w:spacing w:before="100" w:beforeAutospacing="1" w:after="100" w:afterAutospacing="1" w:line="240" w:lineRule="auto"/>
    </w:pPr>
    <w:rPr>
      <w:rFonts w:ascii="Times New Roman" w:eastAsia="Times New Roman" w:hAnsi="Times New Roman"/>
      <w:b/>
      <w:sz w:val="26"/>
      <w:szCs w:val="26"/>
    </w:rPr>
  </w:style>
  <w:style w:type="paragraph" w:customStyle="1" w:styleId="font13">
    <w:name w:val="font13"/>
    <w:basedOn w:val="Normal"/>
    <w:rsid w:val="00B67E56"/>
    <w:pPr>
      <w:spacing w:before="100" w:beforeAutospacing="1" w:after="100" w:afterAutospacing="1" w:line="240" w:lineRule="auto"/>
    </w:pPr>
    <w:rPr>
      <w:rFonts w:ascii="Times New Roman" w:eastAsia="Times New Roman" w:hAnsi="Times New Roman"/>
      <w:bCs w:val="0"/>
      <w:i/>
      <w:iCs/>
      <w:sz w:val="26"/>
      <w:szCs w:val="26"/>
    </w:rPr>
  </w:style>
  <w:style w:type="paragraph" w:customStyle="1" w:styleId="font14">
    <w:name w:val="font14"/>
    <w:basedOn w:val="Normal"/>
    <w:rsid w:val="00B67E56"/>
    <w:pPr>
      <w:spacing w:before="100" w:beforeAutospacing="1" w:after="100" w:afterAutospacing="1" w:line="240" w:lineRule="auto"/>
    </w:pPr>
    <w:rPr>
      <w:rFonts w:ascii="Times New Roman" w:eastAsia="Times New Roman" w:hAnsi="Times New Roman"/>
      <w:bCs w:val="0"/>
    </w:rPr>
  </w:style>
  <w:style w:type="paragraph" w:customStyle="1" w:styleId="font15">
    <w:name w:val="font15"/>
    <w:basedOn w:val="Normal"/>
    <w:rsid w:val="00B67E56"/>
    <w:pPr>
      <w:spacing w:before="100" w:beforeAutospacing="1" w:after="100" w:afterAutospacing="1" w:line="240" w:lineRule="auto"/>
    </w:pPr>
    <w:rPr>
      <w:rFonts w:ascii="Times New Roman" w:eastAsia="Times New Roman" w:hAnsi="Times New Roman"/>
      <w:b/>
    </w:rPr>
  </w:style>
  <w:style w:type="paragraph" w:customStyle="1" w:styleId="xl65">
    <w:name w:val="xl65"/>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sz w:val="26"/>
      <w:szCs w:val="26"/>
    </w:rPr>
  </w:style>
  <w:style w:type="paragraph" w:customStyle="1" w:styleId="xl66">
    <w:name w:val="xl66"/>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67">
    <w:name w:val="xl67"/>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68">
    <w:name w:val="xl68"/>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69">
    <w:name w:val="xl69"/>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70">
    <w:name w:val="xl70"/>
    <w:basedOn w:val="Normal"/>
    <w:rsid w:val="00B67E56"/>
    <w:pP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71">
    <w:name w:val="xl71"/>
    <w:basedOn w:val="Normal"/>
    <w:rsid w:val="00B67E56"/>
    <w:pPr>
      <w:spacing w:before="100" w:beforeAutospacing="1" w:after="100" w:afterAutospacing="1" w:line="240" w:lineRule="auto"/>
      <w:jc w:val="center"/>
    </w:pPr>
    <w:rPr>
      <w:rFonts w:ascii="Times New Roman" w:eastAsia="Times New Roman" w:hAnsi="Times New Roman"/>
      <w:b/>
      <w:sz w:val="26"/>
      <w:szCs w:val="26"/>
    </w:rPr>
  </w:style>
  <w:style w:type="paragraph" w:customStyle="1" w:styleId="xl72">
    <w:name w:val="xl72"/>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bCs w:val="0"/>
      <w:i/>
      <w:iCs/>
      <w:sz w:val="26"/>
      <w:szCs w:val="26"/>
    </w:rPr>
  </w:style>
  <w:style w:type="paragraph" w:customStyle="1" w:styleId="xl73">
    <w:name w:val="xl73"/>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74">
    <w:name w:val="xl74"/>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b/>
      <w:sz w:val="26"/>
      <w:szCs w:val="26"/>
    </w:rPr>
  </w:style>
  <w:style w:type="paragraph" w:customStyle="1" w:styleId="xl75">
    <w:name w:val="xl75"/>
    <w:basedOn w:val="Normal"/>
    <w:rsid w:val="00B67E56"/>
    <w:pPr>
      <w:shd w:val="clear" w:color="000000" w:fill="00B0F0"/>
      <w:spacing w:before="100" w:beforeAutospacing="1" w:after="100" w:afterAutospacing="1" w:line="240" w:lineRule="auto"/>
    </w:pPr>
    <w:rPr>
      <w:rFonts w:ascii="Times New Roman" w:eastAsia="Times New Roman" w:hAnsi="Times New Roman"/>
      <w:bCs w:val="0"/>
      <w:sz w:val="26"/>
      <w:szCs w:val="26"/>
    </w:rPr>
  </w:style>
  <w:style w:type="paragraph" w:customStyle="1" w:styleId="xl76">
    <w:name w:val="xl76"/>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77">
    <w:name w:val="xl77"/>
    <w:basedOn w:val="Normal"/>
    <w:rsid w:val="00B67E56"/>
    <w:pPr>
      <w:shd w:val="clear" w:color="000000" w:fill="00B0F0"/>
      <w:spacing w:before="100" w:beforeAutospacing="1" w:after="100" w:afterAutospacing="1" w:line="240" w:lineRule="auto"/>
    </w:pPr>
    <w:rPr>
      <w:rFonts w:ascii="Times New Roman" w:eastAsia="Times New Roman" w:hAnsi="Times New Roman"/>
      <w:bCs w:val="0"/>
      <w:sz w:val="26"/>
      <w:szCs w:val="26"/>
    </w:rPr>
  </w:style>
  <w:style w:type="paragraph" w:customStyle="1" w:styleId="xl78">
    <w:name w:val="xl78"/>
    <w:basedOn w:val="Normal"/>
    <w:rsid w:val="00B67E56"/>
    <w:pPr>
      <w:shd w:val="clear" w:color="000000" w:fill="00B0F0"/>
      <w:spacing w:before="100" w:beforeAutospacing="1" w:after="100" w:afterAutospacing="1" w:line="240" w:lineRule="auto"/>
    </w:pPr>
    <w:rPr>
      <w:rFonts w:ascii="Times New Roman" w:eastAsia="Times New Roman" w:hAnsi="Times New Roman"/>
      <w:bCs w:val="0"/>
      <w:sz w:val="24"/>
      <w:szCs w:val="24"/>
    </w:rPr>
  </w:style>
  <w:style w:type="paragraph" w:customStyle="1" w:styleId="xl79">
    <w:name w:val="xl79"/>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80">
    <w:name w:val="xl80"/>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81">
    <w:name w:val="xl81"/>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i/>
      <w:iCs/>
      <w:sz w:val="26"/>
      <w:szCs w:val="26"/>
    </w:rPr>
  </w:style>
  <w:style w:type="paragraph" w:customStyle="1" w:styleId="xl82">
    <w:name w:val="xl82"/>
    <w:basedOn w:val="Normal"/>
    <w:rsid w:val="00B67E56"/>
    <w:pPr>
      <w:spacing w:before="100" w:beforeAutospacing="1" w:after="100" w:afterAutospacing="1" w:line="240" w:lineRule="auto"/>
    </w:pPr>
    <w:rPr>
      <w:rFonts w:ascii="Times New Roman" w:eastAsia="Times New Roman" w:hAnsi="Times New Roman"/>
      <w:bCs w:val="0"/>
      <w:sz w:val="26"/>
      <w:szCs w:val="26"/>
    </w:rPr>
  </w:style>
  <w:style w:type="paragraph" w:customStyle="1" w:styleId="xl83">
    <w:name w:val="xl83"/>
    <w:basedOn w:val="Normal"/>
    <w:rsid w:val="00B67E56"/>
    <w:pPr>
      <w:spacing w:before="100" w:beforeAutospacing="1" w:after="100" w:afterAutospacing="1" w:line="240" w:lineRule="auto"/>
    </w:pPr>
    <w:rPr>
      <w:rFonts w:ascii="Times New Roman" w:eastAsia="Times New Roman" w:hAnsi="Times New Roman"/>
      <w:bCs w:val="0"/>
      <w:sz w:val="24"/>
      <w:szCs w:val="24"/>
    </w:rPr>
  </w:style>
  <w:style w:type="paragraph" w:customStyle="1" w:styleId="xl84">
    <w:name w:val="xl84"/>
    <w:basedOn w:val="Normal"/>
    <w:rsid w:val="00B67E56"/>
    <w:pPr>
      <w:spacing w:before="100" w:beforeAutospacing="1" w:after="100" w:afterAutospacing="1" w:line="240" w:lineRule="auto"/>
    </w:pPr>
    <w:rPr>
      <w:rFonts w:ascii="Times New Roman" w:eastAsia="Times New Roman" w:hAnsi="Times New Roman"/>
      <w:bCs w:val="0"/>
      <w:sz w:val="24"/>
      <w:szCs w:val="24"/>
    </w:rPr>
  </w:style>
  <w:style w:type="paragraph" w:customStyle="1" w:styleId="xl85">
    <w:name w:val="xl85"/>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Cs w:val="0"/>
      <w:sz w:val="26"/>
      <w:szCs w:val="26"/>
    </w:rPr>
  </w:style>
  <w:style w:type="paragraph" w:customStyle="1" w:styleId="xl86">
    <w:name w:val="xl86"/>
    <w:basedOn w:val="Normal"/>
    <w:rsid w:val="00B67E56"/>
    <w:pPr>
      <w:spacing w:before="100" w:beforeAutospacing="1" w:after="100" w:afterAutospacing="1" w:line="240" w:lineRule="auto"/>
    </w:pPr>
    <w:rPr>
      <w:rFonts w:ascii="Times New Roman" w:eastAsia="Times New Roman" w:hAnsi="Times New Roman"/>
      <w:bCs w:val="0"/>
      <w:sz w:val="26"/>
      <w:szCs w:val="26"/>
    </w:rPr>
  </w:style>
  <w:style w:type="paragraph" w:customStyle="1" w:styleId="xl87">
    <w:name w:val="xl87"/>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sz w:val="26"/>
      <w:szCs w:val="26"/>
    </w:rPr>
  </w:style>
  <w:style w:type="paragraph" w:customStyle="1" w:styleId="xl88">
    <w:name w:val="xl88"/>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i/>
      <w:iCs/>
      <w:sz w:val="26"/>
      <w:szCs w:val="26"/>
    </w:rPr>
  </w:style>
  <w:style w:type="paragraph" w:customStyle="1" w:styleId="xl89">
    <w:name w:val="xl89"/>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90">
    <w:name w:val="xl90"/>
    <w:basedOn w:val="Normal"/>
    <w:rsid w:val="00B67E5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91">
    <w:name w:val="xl91"/>
    <w:basedOn w:val="Normal"/>
    <w:rsid w:val="00B67E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92">
    <w:name w:val="xl92"/>
    <w:basedOn w:val="Normal"/>
    <w:rsid w:val="00B67E56"/>
    <w:pPr>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93">
    <w:name w:val="xl93"/>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94">
    <w:name w:val="xl94"/>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Cs w:val="0"/>
      <w:sz w:val="26"/>
      <w:szCs w:val="26"/>
    </w:rPr>
  </w:style>
  <w:style w:type="paragraph" w:customStyle="1" w:styleId="xl95">
    <w:name w:val="xl95"/>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Cs w:val="0"/>
      <w:sz w:val="26"/>
      <w:szCs w:val="26"/>
    </w:rPr>
  </w:style>
  <w:style w:type="paragraph" w:customStyle="1" w:styleId="xl96">
    <w:name w:val="xl96"/>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Cs w:val="0"/>
      <w:sz w:val="26"/>
      <w:szCs w:val="26"/>
    </w:rPr>
  </w:style>
  <w:style w:type="paragraph" w:customStyle="1" w:styleId="xl97">
    <w:name w:val="xl97"/>
    <w:basedOn w:val="Normal"/>
    <w:rsid w:val="00B67E56"/>
    <w:pPr>
      <w:spacing w:before="100" w:beforeAutospacing="1" w:after="100" w:afterAutospacing="1" w:line="240" w:lineRule="auto"/>
      <w:jc w:val="center"/>
    </w:pPr>
    <w:rPr>
      <w:rFonts w:ascii="Times New Roman" w:eastAsia="Times New Roman" w:hAnsi="Times New Roman"/>
      <w:bCs w:val="0"/>
      <w:sz w:val="26"/>
      <w:szCs w:val="26"/>
    </w:rPr>
  </w:style>
  <w:style w:type="paragraph" w:customStyle="1" w:styleId="xl98">
    <w:name w:val="xl98"/>
    <w:basedOn w:val="Normal"/>
    <w:rsid w:val="00B67E56"/>
    <w:pPr>
      <w:spacing w:before="100" w:beforeAutospacing="1" w:after="100" w:afterAutospacing="1" w:line="240" w:lineRule="auto"/>
    </w:pPr>
    <w:rPr>
      <w:rFonts w:ascii="Times New Roman" w:eastAsia="Times New Roman" w:hAnsi="Times New Roman"/>
      <w:bCs w:val="0"/>
      <w:i/>
      <w:iCs/>
      <w:sz w:val="26"/>
      <w:szCs w:val="26"/>
    </w:rPr>
  </w:style>
  <w:style w:type="paragraph" w:customStyle="1" w:styleId="xl99">
    <w:name w:val="xl99"/>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color w:val="FF0000"/>
      <w:sz w:val="26"/>
      <w:szCs w:val="26"/>
    </w:rPr>
  </w:style>
  <w:style w:type="paragraph" w:customStyle="1" w:styleId="xl100">
    <w:name w:val="xl100"/>
    <w:basedOn w:val="Normal"/>
    <w:rsid w:val="00B67E56"/>
    <w:pPr>
      <w:spacing w:before="100" w:beforeAutospacing="1" w:after="100" w:afterAutospacing="1" w:line="240" w:lineRule="auto"/>
    </w:pPr>
    <w:rPr>
      <w:rFonts w:ascii="Times New Roman" w:eastAsia="Times New Roman" w:hAnsi="Times New Roman"/>
      <w:bCs w:val="0"/>
      <w:i/>
      <w:iCs/>
      <w:sz w:val="24"/>
      <w:szCs w:val="24"/>
    </w:rPr>
  </w:style>
  <w:style w:type="paragraph" w:customStyle="1" w:styleId="xl101">
    <w:name w:val="xl101"/>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color w:val="FF0000"/>
      <w:sz w:val="24"/>
      <w:szCs w:val="24"/>
    </w:rPr>
  </w:style>
  <w:style w:type="paragraph" w:customStyle="1" w:styleId="xl102">
    <w:name w:val="xl102"/>
    <w:basedOn w:val="Normal"/>
    <w:rsid w:val="00B67E56"/>
    <w:pPr>
      <w:spacing w:before="100" w:beforeAutospacing="1" w:after="100" w:afterAutospacing="1" w:line="240" w:lineRule="auto"/>
    </w:pPr>
    <w:rPr>
      <w:rFonts w:ascii="Times New Roman" w:eastAsia="Times New Roman" w:hAnsi="Times New Roman"/>
      <w:bCs w:val="0"/>
    </w:rPr>
  </w:style>
  <w:style w:type="paragraph" w:customStyle="1" w:styleId="xl103">
    <w:name w:val="xl103"/>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Cs w:val="0"/>
      <w:sz w:val="26"/>
      <w:szCs w:val="26"/>
    </w:rPr>
  </w:style>
  <w:style w:type="paragraph" w:customStyle="1" w:styleId="xl104">
    <w:name w:val="xl104"/>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05">
    <w:name w:val="xl105"/>
    <w:basedOn w:val="Normal"/>
    <w:rsid w:val="00B67E56"/>
    <w:pP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06">
    <w:name w:val="xl106"/>
    <w:basedOn w:val="Normal"/>
    <w:rsid w:val="00B67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07">
    <w:name w:val="xl107"/>
    <w:basedOn w:val="Normal"/>
    <w:rsid w:val="00B67E56"/>
    <w:pPr>
      <w:shd w:val="clear" w:color="000000" w:fill="00B0F0"/>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08">
    <w:name w:val="xl108"/>
    <w:basedOn w:val="Normal"/>
    <w:rsid w:val="00B67E5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09">
    <w:name w:val="xl109"/>
    <w:basedOn w:val="Normal"/>
    <w:rsid w:val="00B67E5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10">
    <w:name w:val="xl110"/>
    <w:basedOn w:val="Normal"/>
    <w:rsid w:val="00B67E5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11">
    <w:name w:val="xl111"/>
    <w:basedOn w:val="Normal"/>
    <w:rsid w:val="00501A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12">
    <w:name w:val="xl112"/>
    <w:basedOn w:val="Normal"/>
    <w:rsid w:val="00501A3D"/>
    <w:pPr>
      <w:shd w:val="clear" w:color="000000" w:fill="00B0F0"/>
      <w:spacing w:before="100" w:beforeAutospacing="1" w:after="100" w:afterAutospacing="1" w:line="240" w:lineRule="auto"/>
      <w:jc w:val="center"/>
      <w:textAlignment w:val="center"/>
    </w:pPr>
    <w:rPr>
      <w:rFonts w:ascii="Times New Roman" w:eastAsia="Times New Roman" w:hAnsi="Times New Roman"/>
      <w:bCs w:val="0"/>
      <w:sz w:val="26"/>
      <w:szCs w:val="26"/>
    </w:rPr>
  </w:style>
  <w:style w:type="paragraph" w:customStyle="1" w:styleId="xl113">
    <w:name w:val="xl113"/>
    <w:basedOn w:val="Normal"/>
    <w:rsid w:val="00501A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14">
    <w:name w:val="xl114"/>
    <w:basedOn w:val="Normal"/>
    <w:rsid w:val="00501A3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15">
    <w:name w:val="xl115"/>
    <w:basedOn w:val="Normal"/>
    <w:rsid w:val="00501A3D"/>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116">
    <w:name w:val="xl116"/>
    <w:basedOn w:val="Normal"/>
    <w:rsid w:val="00501A3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sz w:val="26"/>
      <w:szCs w:val="26"/>
    </w:rPr>
  </w:style>
  <w:style w:type="paragraph" w:customStyle="1" w:styleId="xl64">
    <w:name w:val="xl64"/>
    <w:basedOn w:val="Normal"/>
    <w:rsid w:val="00300008"/>
    <w:pPr>
      <w:spacing w:before="100" w:beforeAutospacing="1" w:after="100" w:afterAutospacing="1" w:line="240" w:lineRule="auto"/>
    </w:pPr>
    <w:rPr>
      <w:rFonts w:ascii="Times New Roman" w:eastAsia="Times New Roman" w:hAnsi="Times New Roman"/>
      <w:b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65229">
      <w:bodyDiv w:val="1"/>
      <w:marLeft w:val="0"/>
      <w:marRight w:val="0"/>
      <w:marTop w:val="0"/>
      <w:marBottom w:val="0"/>
      <w:divBdr>
        <w:top w:val="none" w:sz="0" w:space="0" w:color="auto"/>
        <w:left w:val="none" w:sz="0" w:space="0" w:color="auto"/>
        <w:bottom w:val="none" w:sz="0" w:space="0" w:color="auto"/>
        <w:right w:val="none" w:sz="0" w:space="0" w:color="auto"/>
      </w:divBdr>
    </w:div>
    <w:div w:id="391271289">
      <w:bodyDiv w:val="1"/>
      <w:marLeft w:val="0"/>
      <w:marRight w:val="0"/>
      <w:marTop w:val="0"/>
      <w:marBottom w:val="0"/>
      <w:divBdr>
        <w:top w:val="none" w:sz="0" w:space="0" w:color="auto"/>
        <w:left w:val="none" w:sz="0" w:space="0" w:color="auto"/>
        <w:bottom w:val="none" w:sz="0" w:space="0" w:color="auto"/>
        <w:right w:val="none" w:sz="0" w:space="0" w:color="auto"/>
      </w:divBdr>
    </w:div>
    <w:div w:id="581455693">
      <w:bodyDiv w:val="1"/>
      <w:marLeft w:val="0"/>
      <w:marRight w:val="0"/>
      <w:marTop w:val="0"/>
      <w:marBottom w:val="0"/>
      <w:divBdr>
        <w:top w:val="none" w:sz="0" w:space="0" w:color="auto"/>
        <w:left w:val="none" w:sz="0" w:space="0" w:color="auto"/>
        <w:bottom w:val="none" w:sz="0" w:space="0" w:color="auto"/>
        <w:right w:val="none" w:sz="0" w:space="0" w:color="auto"/>
      </w:divBdr>
    </w:div>
    <w:div w:id="916011206">
      <w:bodyDiv w:val="1"/>
      <w:marLeft w:val="0"/>
      <w:marRight w:val="0"/>
      <w:marTop w:val="0"/>
      <w:marBottom w:val="0"/>
      <w:divBdr>
        <w:top w:val="none" w:sz="0" w:space="0" w:color="auto"/>
        <w:left w:val="none" w:sz="0" w:space="0" w:color="auto"/>
        <w:bottom w:val="none" w:sz="0" w:space="0" w:color="auto"/>
        <w:right w:val="none" w:sz="0" w:space="0" w:color="auto"/>
      </w:divBdr>
    </w:div>
    <w:div w:id="979455905">
      <w:bodyDiv w:val="1"/>
      <w:marLeft w:val="0"/>
      <w:marRight w:val="0"/>
      <w:marTop w:val="0"/>
      <w:marBottom w:val="0"/>
      <w:divBdr>
        <w:top w:val="none" w:sz="0" w:space="0" w:color="auto"/>
        <w:left w:val="none" w:sz="0" w:space="0" w:color="auto"/>
        <w:bottom w:val="none" w:sz="0" w:space="0" w:color="auto"/>
        <w:right w:val="none" w:sz="0" w:space="0" w:color="auto"/>
      </w:divBdr>
    </w:div>
    <w:div w:id="1882863930">
      <w:bodyDiv w:val="1"/>
      <w:marLeft w:val="0"/>
      <w:marRight w:val="0"/>
      <w:marTop w:val="0"/>
      <w:marBottom w:val="0"/>
      <w:divBdr>
        <w:top w:val="none" w:sz="0" w:space="0" w:color="auto"/>
        <w:left w:val="none" w:sz="0" w:space="0" w:color="auto"/>
        <w:bottom w:val="none" w:sz="0" w:space="0" w:color="auto"/>
        <w:right w:val="none" w:sz="0" w:space="0" w:color="auto"/>
      </w:divBdr>
    </w:div>
    <w:div w:id="1885633644">
      <w:bodyDiv w:val="1"/>
      <w:marLeft w:val="0"/>
      <w:marRight w:val="0"/>
      <w:marTop w:val="0"/>
      <w:marBottom w:val="0"/>
      <w:divBdr>
        <w:top w:val="none" w:sz="0" w:space="0" w:color="auto"/>
        <w:left w:val="none" w:sz="0" w:space="0" w:color="auto"/>
        <w:bottom w:val="none" w:sz="0" w:space="0" w:color="auto"/>
        <w:right w:val="none" w:sz="0" w:space="0" w:color="auto"/>
      </w:divBdr>
    </w:div>
    <w:div w:id="19921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51</Pages>
  <Words>6064</Words>
  <Characters>34566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Luyến</dc:creator>
  <cp:keywords/>
  <dc:description/>
  <cp:lastModifiedBy>Trần Thị Luyến</cp:lastModifiedBy>
  <cp:revision>335</cp:revision>
  <cp:lastPrinted>2021-07-20T07:08:00Z</cp:lastPrinted>
  <dcterms:created xsi:type="dcterms:W3CDTF">2020-09-19T05:51:00Z</dcterms:created>
  <dcterms:modified xsi:type="dcterms:W3CDTF">2021-08-31T07:22:00Z</dcterms:modified>
</cp:coreProperties>
</file>