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98" w:type="dxa"/>
        <w:jc w:val="center"/>
        <w:tblLayout w:type="fixed"/>
        <w:tblLook w:val="0000" w:firstRow="0" w:lastRow="0" w:firstColumn="0" w:lastColumn="0" w:noHBand="0" w:noVBand="0"/>
      </w:tblPr>
      <w:tblGrid>
        <w:gridCol w:w="3238"/>
        <w:gridCol w:w="5760"/>
      </w:tblGrid>
      <w:tr w:rsidR="00D25C8E" w:rsidRPr="00D25C8E" w:rsidTr="00906D52">
        <w:trPr>
          <w:trHeight w:val="1005"/>
          <w:jc w:val="center"/>
        </w:trPr>
        <w:tc>
          <w:tcPr>
            <w:tcW w:w="3238" w:type="dxa"/>
          </w:tcPr>
          <w:p w:rsidR="001934E2" w:rsidRPr="00D25C8E" w:rsidRDefault="0035127A" w:rsidP="00FB644E">
            <w:pPr>
              <w:jc w:val="center"/>
              <w:rPr>
                <w:b/>
                <w:sz w:val="26"/>
                <w:szCs w:val="26"/>
              </w:rPr>
            </w:pPr>
            <w:r w:rsidRPr="00D25C8E">
              <w:rPr>
                <w:b/>
                <w:noProof/>
                <w:sz w:val="26"/>
                <w:szCs w:val="26"/>
              </w:rPr>
              <w:t xml:space="preserve">UỶ BAN NHÂN DÂN               </w:t>
            </w:r>
            <w:r w:rsidR="001934E2" w:rsidRPr="00D25C8E">
              <w:rPr>
                <w:b/>
                <w:sz w:val="26"/>
                <w:szCs w:val="26"/>
              </w:rPr>
              <w:t xml:space="preserve"> TỈNH HÀ TĨNH</w:t>
            </w:r>
          </w:p>
          <w:p w:rsidR="001934E2" w:rsidRPr="00D25C8E" w:rsidRDefault="00BB19DE" w:rsidP="00FB644E">
            <w:pPr>
              <w:rPr>
                <w:sz w:val="23"/>
                <w:szCs w:val="23"/>
              </w:rPr>
            </w:pPr>
            <w:r w:rsidRPr="00D25C8E">
              <w:rPr>
                <w:noProof/>
                <w:sz w:val="23"/>
                <w:szCs w:val="23"/>
              </w:rPr>
              <mc:AlternateContent>
                <mc:Choice Requires="wps">
                  <w:drawing>
                    <wp:anchor distT="0" distB="0" distL="114300" distR="114300" simplePos="0" relativeHeight="251657216" behindDoc="0" locked="0" layoutInCell="1" allowOverlap="1" wp14:anchorId="43B57367" wp14:editId="231901DF">
                      <wp:simplePos x="0" y="0"/>
                      <wp:positionH relativeFrom="column">
                        <wp:posOffset>627888</wp:posOffset>
                      </wp:positionH>
                      <wp:positionV relativeFrom="paragraph">
                        <wp:posOffset>39370</wp:posOffset>
                      </wp:positionV>
                      <wp:extent cx="685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93D1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3.1pt" to="103.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V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"/>
                  </w:pict>
                </mc:Fallback>
              </mc:AlternateContent>
            </w:r>
          </w:p>
          <w:p w:rsidR="008601E7" w:rsidRPr="00D25C8E" w:rsidRDefault="008601E7" w:rsidP="00FB644E">
            <w:pPr>
              <w:jc w:val="center"/>
              <w:rPr>
                <w:sz w:val="13"/>
                <w:szCs w:val="23"/>
              </w:rPr>
            </w:pPr>
          </w:p>
          <w:p w:rsidR="00EF4AFF" w:rsidRPr="00D25C8E" w:rsidRDefault="00EF4AFF" w:rsidP="00906D52">
            <w:pPr>
              <w:rPr>
                <w:sz w:val="13"/>
                <w:szCs w:val="23"/>
              </w:rPr>
            </w:pPr>
          </w:p>
          <w:p w:rsidR="00AE1951" w:rsidRPr="00D25C8E" w:rsidRDefault="00AE1951" w:rsidP="002E3AB8">
            <w:pPr>
              <w:jc w:val="center"/>
              <w:rPr>
                <w:sz w:val="23"/>
                <w:szCs w:val="23"/>
              </w:rPr>
            </w:pPr>
          </w:p>
        </w:tc>
        <w:tc>
          <w:tcPr>
            <w:tcW w:w="5760" w:type="dxa"/>
          </w:tcPr>
          <w:p w:rsidR="001934E2" w:rsidRPr="00D25C8E" w:rsidRDefault="001934E2" w:rsidP="00FB644E">
            <w:pPr>
              <w:jc w:val="center"/>
              <w:rPr>
                <w:sz w:val="26"/>
                <w:szCs w:val="26"/>
              </w:rPr>
            </w:pPr>
            <w:r w:rsidRPr="00D25C8E">
              <w:rPr>
                <w:b/>
                <w:sz w:val="26"/>
                <w:szCs w:val="26"/>
              </w:rPr>
              <w:t>CỘNG HOÀ XÃ HỘI CHỦ NGHĨA VIỆT NAM</w:t>
            </w:r>
          </w:p>
          <w:p w:rsidR="001934E2" w:rsidRPr="00D25C8E" w:rsidRDefault="001934E2" w:rsidP="00FB644E">
            <w:pPr>
              <w:rPr>
                <w:sz w:val="28"/>
                <w:szCs w:val="28"/>
              </w:rPr>
            </w:pPr>
            <w:r w:rsidRPr="00D25C8E">
              <w:rPr>
                <w:sz w:val="29"/>
                <w:szCs w:val="29"/>
              </w:rPr>
              <w:t xml:space="preserve">                </w:t>
            </w:r>
            <w:r w:rsidRPr="00D25C8E">
              <w:rPr>
                <w:b/>
                <w:sz w:val="25"/>
                <w:szCs w:val="25"/>
              </w:rPr>
              <w:t xml:space="preserve"> </w:t>
            </w:r>
            <w:r w:rsidRPr="00D25C8E">
              <w:rPr>
                <w:rFonts w:hint="eastAsia"/>
                <w:b/>
                <w:sz w:val="28"/>
                <w:szCs w:val="28"/>
              </w:rPr>
              <w:t>Đ</w:t>
            </w:r>
            <w:r w:rsidRPr="00D25C8E">
              <w:rPr>
                <w:b/>
                <w:sz w:val="28"/>
                <w:szCs w:val="28"/>
              </w:rPr>
              <w:t>ộc lập - Tự do - Hạnh phúc</w:t>
            </w:r>
            <w:r w:rsidRPr="00D25C8E">
              <w:rPr>
                <w:sz w:val="28"/>
                <w:szCs w:val="28"/>
              </w:rPr>
              <w:t xml:space="preserve">         </w:t>
            </w:r>
          </w:p>
          <w:p w:rsidR="001934E2" w:rsidRPr="00D25C8E" w:rsidRDefault="00BB19DE" w:rsidP="00FB644E">
            <w:pPr>
              <w:jc w:val="center"/>
              <w:rPr>
                <w:b/>
                <w:i/>
                <w:sz w:val="29"/>
                <w:szCs w:val="17"/>
              </w:rPr>
            </w:pPr>
            <w:r w:rsidRPr="00D25C8E">
              <w:rPr>
                <w:noProof/>
                <w:sz w:val="35"/>
                <w:szCs w:val="23"/>
                <w:vertAlign w:val="superscript"/>
              </w:rPr>
              <mc:AlternateContent>
                <mc:Choice Requires="wps">
                  <w:drawing>
                    <wp:anchor distT="0" distB="0" distL="114300" distR="114300" simplePos="0" relativeHeight="251658240" behindDoc="0" locked="0" layoutInCell="1" allowOverlap="1" wp14:anchorId="11699E7B" wp14:editId="1BF19FB0">
                      <wp:simplePos x="0" y="0"/>
                      <wp:positionH relativeFrom="column">
                        <wp:posOffset>853440</wp:posOffset>
                      </wp:positionH>
                      <wp:positionV relativeFrom="paragraph">
                        <wp:posOffset>22860</wp:posOffset>
                      </wp:positionV>
                      <wp:extent cx="2055495" cy="0"/>
                      <wp:effectExtent l="0" t="0" r="2095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94E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8pt" to="22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Ih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"/>
                  </w:pict>
                </mc:Fallback>
              </mc:AlternateContent>
            </w:r>
            <w:r w:rsidR="001934E2" w:rsidRPr="00D25C8E">
              <w:rPr>
                <w:sz w:val="35"/>
                <w:szCs w:val="23"/>
                <w:vertAlign w:val="superscript"/>
              </w:rPr>
              <w:t xml:space="preserve"> </w:t>
            </w:r>
            <w:r w:rsidR="001934E2" w:rsidRPr="00D25C8E">
              <w:rPr>
                <w:sz w:val="39"/>
                <w:szCs w:val="23"/>
                <w:vertAlign w:val="superscript"/>
              </w:rPr>
              <w:t xml:space="preserve"> </w:t>
            </w:r>
            <w:r w:rsidR="001934E2" w:rsidRPr="00D25C8E">
              <w:rPr>
                <w:sz w:val="35"/>
                <w:szCs w:val="23"/>
                <w:vertAlign w:val="superscript"/>
              </w:rPr>
              <w:t xml:space="preserve">                                                                                                                                        </w:t>
            </w:r>
          </w:p>
          <w:p w:rsidR="001934E2" w:rsidRPr="00D25C8E" w:rsidRDefault="001934E2" w:rsidP="00904ADB">
            <w:pPr>
              <w:rPr>
                <w:sz w:val="28"/>
                <w:szCs w:val="28"/>
              </w:rPr>
            </w:pPr>
            <w:r w:rsidRPr="00D25C8E">
              <w:rPr>
                <w:i/>
                <w:sz w:val="23"/>
                <w:szCs w:val="23"/>
              </w:rPr>
              <w:t xml:space="preserve">            </w:t>
            </w:r>
            <w:r w:rsidRPr="00D25C8E">
              <w:rPr>
                <w:i/>
                <w:sz w:val="28"/>
                <w:szCs w:val="28"/>
              </w:rPr>
              <w:t xml:space="preserve">    Hà Tĩnh, </w:t>
            </w:r>
            <w:r w:rsidR="00061B2A" w:rsidRPr="00D25C8E">
              <w:rPr>
                <w:i/>
                <w:sz w:val="28"/>
                <w:szCs w:val="28"/>
              </w:rPr>
              <w:t xml:space="preserve">ngày </w:t>
            </w:r>
            <w:r w:rsidR="00D25C8E" w:rsidRPr="00D25C8E">
              <w:rPr>
                <w:i/>
                <w:sz w:val="28"/>
                <w:szCs w:val="28"/>
              </w:rPr>
              <w:t>1</w:t>
            </w:r>
            <w:r w:rsidR="00904ADB">
              <w:rPr>
                <w:i/>
                <w:sz w:val="28"/>
                <w:szCs w:val="28"/>
              </w:rPr>
              <w:t>1</w:t>
            </w:r>
            <w:r w:rsidR="00E30F43" w:rsidRPr="00D25C8E">
              <w:rPr>
                <w:i/>
                <w:sz w:val="28"/>
                <w:szCs w:val="28"/>
              </w:rPr>
              <w:t xml:space="preserve"> </w:t>
            </w:r>
            <w:r w:rsidRPr="00D25C8E">
              <w:rPr>
                <w:i/>
                <w:sz w:val="28"/>
                <w:szCs w:val="28"/>
              </w:rPr>
              <w:t xml:space="preserve">tháng </w:t>
            </w:r>
            <w:r w:rsidR="00D25C8E" w:rsidRPr="00D25C8E">
              <w:rPr>
                <w:i/>
                <w:sz w:val="28"/>
                <w:szCs w:val="28"/>
              </w:rPr>
              <w:t>11</w:t>
            </w:r>
            <w:r w:rsidR="00C13E81" w:rsidRPr="00D25C8E">
              <w:rPr>
                <w:i/>
                <w:sz w:val="28"/>
                <w:szCs w:val="28"/>
              </w:rPr>
              <w:t xml:space="preserve"> </w:t>
            </w:r>
            <w:r w:rsidRPr="00D25C8E">
              <w:rPr>
                <w:i/>
                <w:sz w:val="28"/>
                <w:szCs w:val="28"/>
              </w:rPr>
              <w:t>n</w:t>
            </w:r>
            <w:r w:rsidRPr="00D25C8E">
              <w:rPr>
                <w:rFonts w:hint="eastAsia"/>
                <w:i/>
                <w:sz w:val="28"/>
                <w:szCs w:val="28"/>
              </w:rPr>
              <w:t>ă</w:t>
            </w:r>
            <w:r w:rsidRPr="00D25C8E">
              <w:rPr>
                <w:i/>
                <w:sz w:val="28"/>
                <w:szCs w:val="28"/>
              </w:rPr>
              <w:t xml:space="preserve">m </w:t>
            </w:r>
            <w:r w:rsidR="00AE1951" w:rsidRPr="00D25C8E">
              <w:rPr>
                <w:i/>
                <w:sz w:val="28"/>
                <w:szCs w:val="28"/>
              </w:rPr>
              <w:t>201</w:t>
            </w:r>
            <w:r w:rsidR="00D40150" w:rsidRPr="00D25C8E">
              <w:rPr>
                <w:i/>
                <w:sz w:val="28"/>
                <w:szCs w:val="28"/>
              </w:rPr>
              <w:t>9</w:t>
            </w:r>
          </w:p>
        </w:tc>
      </w:tr>
    </w:tbl>
    <w:p w:rsidR="00F02091" w:rsidRPr="00D25C8E" w:rsidRDefault="00F02091" w:rsidP="00F02091">
      <w:pPr>
        <w:tabs>
          <w:tab w:val="left" w:pos="355"/>
        </w:tabs>
        <w:jc w:val="center"/>
        <w:rPr>
          <w:sz w:val="8"/>
          <w:szCs w:val="32"/>
        </w:rPr>
      </w:pPr>
    </w:p>
    <w:p w:rsidR="00C631CF" w:rsidRPr="00D25C8E" w:rsidRDefault="00C631CF" w:rsidP="00906D52">
      <w:pPr>
        <w:spacing w:after="60"/>
        <w:jc w:val="center"/>
        <w:rPr>
          <w:b/>
          <w:sz w:val="28"/>
          <w:szCs w:val="28"/>
        </w:rPr>
      </w:pPr>
      <w:r w:rsidRPr="00D25C8E">
        <w:rPr>
          <w:b/>
          <w:sz w:val="28"/>
          <w:szCs w:val="28"/>
        </w:rPr>
        <w:t>BÁO CÁO</w:t>
      </w:r>
    </w:p>
    <w:p w:rsidR="00C631CF" w:rsidRPr="00D25C8E" w:rsidRDefault="00C631CF" w:rsidP="00C631CF">
      <w:pPr>
        <w:tabs>
          <w:tab w:val="left" w:pos="355"/>
        </w:tabs>
        <w:jc w:val="center"/>
        <w:rPr>
          <w:b/>
          <w:sz w:val="28"/>
          <w:szCs w:val="28"/>
        </w:rPr>
      </w:pPr>
      <w:r w:rsidRPr="00D25C8E">
        <w:rPr>
          <w:b/>
          <w:sz w:val="28"/>
          <w:szCs w:val="28"/>
        </w:rPr>
        <w:t xml:space="preserve"> Tóm tắt nội dung các nghị quyết chuyên đề</w:t>
      </w:r>
    </w:p>
    <w:p w:rsidR="00C631CF" w:rsidRPr="00D25C8E" w:rsidRDefault="00C631CF" w:rsidP="00C631CF">
      <w:pPr>
        <w:tabs>
          <w:tab w:val="left" w:pos="355"/>
        </w:tabs>
        <w:jc w:val="center"/>
        <w:rPr>
          <w:b/>
          <w:sz w:val="28"/>
          <w:szCs w:val="28"/>
        </w:rPr>
      </w:pPr>
      <w:r w:rsidRPr="00D25C8E">
        <w:rPr>
          <w:b/>
          <w:sz w:val="28"/>
          <w:szCs w:val="28"/>
        </w:rPr>
        <w:t xml:space="preserve">trình HĐND tỉnh tại kỳ họp thứ </w:t>
      </w:r>
      <w:r w:rsidR="00D40150" w:rsidRPr="00D25C8E">
        <w:rPr>
          <w:b/>
          <w:sz w:val="28"/>
          <w:szCs w:val="28"/>
        </w:rPr>
        <w:t>1</w:t>
      </w:r>
      <w:r w:rsidR="00D25C8E" w:rsidRPr="00D25C8E">
        <w:rPr>
          <w:b/>
          <w:sz w:val="28"/>
          <w:szCs w:val="28"/>
        </w:rPr>
        <w:t>2</w:t>
      </w:r>
      <w:r w:rsidRPr="00D25C8E">
        <w:rPr>
          <w:b/>
          <w:sz w:val="28"/>
          <w:szCs w:val="28"/>
        </w:rPr>
        <w:t>, HĐND tỉnh khoá XVII</w:t>
      </w:r>
    </w:p>
    <w:p w:rsidR="00D83248" w:rsidRPr="00D25C8E" w:rsidRDefault="00D83248" w:rsidP="00C631CF">
      <w:pPr>
        <w:tabs>
          <w:tab w:val="left" w:pos="355"/>
        </w:tabs>
        <w:jc w:val="center"/>
        <w:rPr>
          <w:i/>
          <w:sz w:val="28"/>
          <w:szCs w:val="28"/>
        </w:rPr>
      </w:pPr>
      <w:r w:rsidRPr="00D25C8E">
        <w:rPr>
          <w:i/>
          <w:sz w:val="28"/>
          <w:szCs w:val="28"/>
        </w:rPr>
        <w:t>(Báo cáo của Ủy ban nhân dân tỉnh phục vụ tiếp xúc cử tri)</w:t>
      </w:r>
    </w:p>
    <w:p w:rsidR="00F37386" w:rsidRPr="00D25C8E" w:rsidRDefault="00F37386" w:rsidP="00DB0D87">
      <w:pPr>
        <w:tabs>
          <w:tab w:val="left" w:pos="355"/>
        </w:tabs>
        <w:rPr>
          <w:sz w:val="12"/>
          <w:szCs w:val="32"/>
          <w:lang w:val="nb-NO"/>
        </w:rPr>
      </w:pPr>
    </w:p>
    <w:p w:rsidR="00C631CF" w:rsidRPr="00D25C8E" w:rsidRDefault="00C631CF" w:rsidP="00DB0D87">
      <w:pPr>
        <w:tabs>
          <w:tab w:val="left" w:pos="355"/>
        </w:tabs>
        <w:rPr>
          <w:sz w:val="12"/>
          <w:szCs w:val="32"/>
          <w:lang w:val="nb-NO"/>
        </w:rPr>
      </w:pPr>
    </w:p>
    <w:p w:rsidR="00C631CF" w:rsidRPr="00D25C8E" w:rsidRDefault="00C631CF" w:rsidP="00DB0D87">
      <w:pPr>
        <w:tabs>
          <w:tab w:val="left" w:pos="355"/>
        </w:tabs>
        <w:rPr>
          <w:sz w:val="12"/>
          <w:szCs w:val="32"/>
          <w:lang w:val="nb-NO"/>
        </w:rPr>
      </w:pPr>
    </w:p>
    <w:p w:rsidR="00D25C8E" w:rsidRDefault="00D25C8E" w:rsidP="0050742E">
      <w:pPr>
        <w:spacing w:before="60" w:after="60"/>
        <w:ind w:firstLine="720"/>
        <w:jc w:val="both"/>
        <w:rPr>
          <w:sz w:val="28"/>
          <w:szCs w:val="28"/>
          <w:lang w:val="nb-NO"/>
        </w:rPr>
      </w:pPr>
      <w:r w:rsidRPr="00D25C8E">
        <w:rPr>
          <w:sz w:val="28"/>
          <w:szCs w:val="28"/>
          <w:lang w:val="nb-NO"/>
        </w:rPr>
        <w:t>Thực hiện Kế hoạch số 659/KH-HĐND ngày 24/10/2019 của Thường trực HĐND tỉnh về chuẩn bị kỳ họp thứ 12 - HĐND tỉnh khoá XVII; Ủy ban nhân dân tỉnh tóm tắt nội dung các nghị quyết chuyên đề trình HĐND tỉnh tại kỳ họp thứ 1</w:t>
      </w:r>
      <w:r>
        <w:rPr>
          <w:sz w:val="28"/>
          <w:szCs w:val="28"/>
          <w:lang w:val="nb-NO"/>
        </w:rPr>
        <w:t>2</w:t>
      </w:r>
      <w:r w:rsidRPr="00D25C8E">
        <w:rPr>
          <w:sz w:val="28"/>
          <w:szCs w:val="28"/>
          <w:lang w:val="nb-NO"/>
        </w:rPr>
        <w:t xml:space="preserve">, HĐND tỉnh khoá XVII, cụ thể như sau:    </w:t>
      </w:r>
    </w:p>
    <w:p w:rsidR="00D25C8E" w:rsidRPr="00D25C8E" w:rsidRDefault="00D25C8E" w:rsidP="0050742E">
      <w:pPr>
        <w:spacing w:before="60" w:after="60"/>
        <w:ind w:firstLine="720"/>
        <w:jc w:val="both"/>
        <w:rPr>
          <w:b/>
          <w:i/>
          <w:sz w:val="28"/>
          <w:szCs w:val="28"/>
          <w:lang w:val="vi-VN"/>
        </w:rPr>
      </w:pPr>
      <w:r w:rsidRPr="00D25C8E">
        <w:rPr>
          <w:b/>
          <w:i/>
          <w:sz w:val="28"/>
          <w:szCs w:val="28"/>
          <w:lang w:val="vi-VN"/>
        </w:rPr>
        <w:t>1. Nghị quyết đề nghị công nhận thị xã Kỳ Anh, tỉnh Hà Tĩnh là đô thị loại III</w:t>
      </w:r>
    </w:p>
    <w:p w:rsidR="00D25C8E" w:rsidRPr="00D25C8E" w:rsidRDefault="00D25C8E" w:rsidP="0050742E">
      <w:pPr>
        <w:pStyle w:val="chuthuong"/>
        <w:spacing w:line="240" w:lineRule="auto"/>
        <w:ind w:firstLine="567"/>
        <w:jc w:val="both"/>
      </w:pPr>
      <w:r w:rsidRPr="00D25C8E">
        <w:rPr>
          <w:szCs w:val="28"/>
          <w:lang w:val="nb-NO"/>
        </w:rPr>
        <w:t xml:space="preserve">Trên cơ sở </w:t>
      </w:r>
      <w:r w:rsidRPr="00D25C8E">
        <w:t xml:space="preserve">đánh giá các tiêu chuẩn đô thị loại III theo Nghị quyết 1210/2016/UBTVQH13 ngày 25/5/2016 Ủy ban Thường vụ Quốc hội, thị xã Kỳ Anh đã đạt đô thị loại III với kết quả như sau: Đạt </w:t>
      </w:r>
      <w:r w:rsidRPr="00D25C8E">
        <w:rPr>
          <w:b/>
        </w:rPr>
        <w:t xml:space="preserve">5/5 </w:t>
      </w:r>
      <w:r w:rsidRPr="00D25C8E">
        <w:t>tiêu chí (</w:t>
      </w:r>
      <w:r w:rsidRPr="00D25C8E">
        <w:rPr>
          <w:b/>
        </w:rPr>
        <w:t>54/59</w:t>
      </w:r>
      <w:r w:rsidRPr="00D25C8E">
        <w:t xml:space="preserve"> tiêu chuẩn) và đạt </w:t>
      </w:r>
      <w:r w:rsidRPr="00D25C8E">
        <w:rPr>
          <w:b/>
        </w:rPr>
        <w:t>85,44/100 điểm</w:t>
      </w:r>
      <w:r w:rsidRPr="00D25C8E">
        <w:t>. Cụ thể:</w:t>
      </w:r>
    </w:p>
    <w:p w:rsidR="00D25C8E" w:rsidRPr="00D25C8E" w:rsidRDefault="00D25C8E" w:rsidP="0050742E">
      <w:pPr>
        <w:pStyle w:val="muc11"/>
        <w:spacing w:before="60" w:after="60"/>
        <w:ind w:firstLine="567"/>
        <w:rPr>
          <w:b w:val="0"/>
          <w:i w:val="0"/>
        </w:rPr>
      </w:pPr>
      <w:r w:rsidRPr="00D25C8E">
        <w:rPr>
          <w:b w:val="0"/>
          <w:i w:val="0"/>
        </w:rPr>
        <w:t>Tiêu chí 1: Vị trí, chức năng, vai trò, cơ cấu và trình độ phát triển kinh tế - xã hội (Đạt 7/7 tiêu chuẩn với 18,32/20 điểm)</w:t>
      </w:r>
    </w:p>
    <w:p w:rsidR="00D25C8E" w:rsidRPr="00D25C8E" w:rsidRDefault="00D25C8E" w:rsidP="0050742E">
      <w:pPr>
        <w:pStyle w:val="muc11"/>
        <w:spacing w:before="60" w:after="60"/>
        <w:ind w:firstLine="567"/>
        <w:rPr>
          <w:b w:val="0"/>
          <w:i w:val="0"/>
        </w:rPr>
      </w:pPr>
      <w:r w:rsidRPr="00D25C8E">
        <w:rPr>
          <w:b w:val="0"/>
          <w:i w:val="0"/>
        </w:rPr>
        <w:t>Tiêu chí 2: Quy mô dân số đô thị (Đạt 2/2 tiêu chuẩn 6,76/8 điểm)</w:t>
      </w:r>
    </w:p>
    <w:p w:rsidR="00D25C8E" w:rsidRPr="00D25C8E" w:rsidRDefault="00D25C8E" w:rsidP="0050742E">
      <w:pPr>
        <w:pStyle w:val="muc11"/>
        <w:spacing w:before="60" w:after="60"/>
        <w:ind w:firstLine="567"/>
        <w:rPr>
          <w:b w:val="0"/>
          <w:i w:val="0"/>
        </w:rPr>
      </w:pPr>
      <w:r w:rsidRPr="00D25C8E">
        <w:rPr>
          <w:b w:val="0"/>
          <w:i w:val="0"/>
        </w:rPr>
        <w:t>Tiêu chí 3: Mật độ dân số (Đạt 1/2 tiêu chuẩn với 4,5/6 điểm)</w:t>
      </w:r>
    </w:p>
    <w:p w:rsidR="00D25C8E" w:rsidRPr="00D25C8E" w:rsidRDefault="00D25C8E" w:rsidP="0050742E">
      <w:pPr>
        <w:pStyle w:val="muc11"/>
        <w:spacing w:before="60" w:after="60"/>
        <w:ind w:firstLine="567"/>
        <w:rPr>
          <w:b w:val="0"/>
          <w:i w:val="0"/>
        </w:rPr>
      </w:pPr>
      <w:r w:rsidRPr="00D25C8E">
        <w:rPr>
          <w:b w:val="0"/>
          <w:i w:val="0"/>
        </w:rPr>
        <w:t>Tiêu chí 4: Tỷ lệ lao động phi nông nghiệp (Đạt 2/2 tiêu chuẩn với 6/6 điểm)</w:t>
      </w:r>
    </w:p>
    <w:p w:rsidR="00D25C8E" w:rsidRPr="00D25C8E" w:rsidRDefault="00D25C8E" w:rsidP="0050742E">
      <w:pPr>
        <w:pStyle w:val="muc11"/>
        <w:spacing w:before="60" w:after="60"/>
        <w:ind w:firstLine="567"/>
        <w:rPr>
          <w:b w:val="0"/>
          <w:i w:val="0"/>
        </w:rPr>
      </w:pPr>
      <w:r w:rsidRPr="00D25C8E">
        <w:rPr>
          <w:b w:val="0"/>
          <w:i w:val="0"/>
        </w:rPr>
        <w:t>Tiêu chí 5: Trình độ phát triển cơ sở hạ tầng và kiến trúc cảnh quan đô thị (Đạt 42/46 tiêu chuẩn với 49,86/60 điểm)</w:t>
      </w:r>
    </w:p>
    <w:p w:rsidR="00D25C8E" w:rsidRDefault="00D25C8E" w:rsidP="0050742E">
      <w:pPr>
        <w:spacing w:before="60" w:after="60"/>
        <w:ind w:firstLine="720"/>
        <w:jc w:val="both"/>
        <w:rPr>
          <w:sz w:val="28"/>
          <w:szCs w:val="28"/>
        </w:rPr>
      </w:pPr>
      <w:r w:rsidRPr="00D25C8E">
        <w:rPr>
          <w:sz w:val="28"/>
          <w:szCs w:val="28"/>
          <w:lang w:val="nb-NO"/>
        </w:rPr>
        <w:t xml:space="preserve">Do vậy, UBND tỉnh dự kiến trình HĐND tỉnh thông qua Nghị quyết </w:t>
      </w:r>
      <w:r w:rsidRPr="00D25C8E">
        <w:rPr>
          <w:sz w:val="28"/>
          <w:szCs w:val="28"/>
        </w:rPr>
        <w:t>đề nghị công nhận thị xã Kỳ Anh, tỉnh Hà Tĩnh là đô thị loại III</w:t>
      </w:r>
      <w:bookmarkStart w:id="0" w:name="_Toc438802547"/>
      <w:bookmarkStart w:id="1" w:name="_Toc454920251"/>
      <w:bookmarkStart w:id="2" w:name="_Toc243938740"/>
      <w:bookmarkStart w:id="3" w:name="_Toc269719402"/>
      <w:bookmarkStart w:id="4" w:name="_Toc269893838"/>
      <w:bookmarkStart w:id="5" w:name="_Toc331514582"/>
      <w:bookmarkStart w:id="6" w:name="_Toc337456448"/>
      <w:bookmarkStart w:id="7" w:name="_Toc244312934"/>
      <w:bookmarkStart w:id="8" w:name="_Toc335215792"/>
      <w:bookmarkStart w:id="9" w:name="_Toc337456410"/>
      <w:bookmarkStart w:id="10" w:name="_Toc438802541"/>
      <w:bookmarkStart w:id="11" w:name="_Toc454973297"/>
      <w:bookmarkStart w:id="12" w:name="_Toc460504700"/>
      <w:bookmarkStart w:id="13" w:name="_Toc460507095"/>
      <w:bookmarkStart w:id="14" w:name="_Toc462055660"/>
      <w:bookmarkStart w:id="15" w:name="_Toc469574848"/>
      <w:bookmarkStart w:id="16" w:name="_Toc16253933"/>
      <w:r>
        <w:rPr>
          <w:sz w:val="28"/>
          <w:szCs w:val="28"/>
        </w:rPr>
        <w:t>.</w:t>
      </w:r>
    </w:p>
    <w:p w:rsidR="009E33E4" w:rsidRPr="009E33E4" w:rsidRDefault="009E33E4" w:rsidP="0050742E">
      <w:pPr>
        <w:spacing w:before="60" w:after="60"/>
        <w:ind w:firstLine="720"/>
        <w:jc w:val="both"/>
        <w:rPr>
          <w:b/>
          <w:i/>
          <w:sz w:val="28"/>
          <w:szCs w:val="28"/>
          <w:lang w:val="vi-VN"/>
        </w:rPr>
      </w:pPr>
      <w:r w:rsidRPr="009E33E4">
        <w:rPr>
          <w:b/>
          <w:i/>
          <w:sz w:val="28"/>
          <w:szCs w:val="28"/>
          <w:lang w:val="vi-VN"/>
        </w:rPr>
        <w:t>2. Nghị quyết đề nghị công nhận thị trấn Nghèn đạt tiêu chuẩn đô thị loại IV.</w:t>
      </w:r>
    </w:p>
    <w:p w:rsidR="009E33E4" w:rsidRPr="009E33E4" w:rsidRDefault="009E33E4" w:rsidP="0050742E">
      <w:pPr>
        <w:spacing w:before="60" w:after="60"/>
        <w:ind w:firstLine="720"/>
        <w:jc w:val="both"/>
        <w:rPr>
          <w:sz w:val="28"/>
          <w:szCs w:val="28"/>
        </w:rPr>
      </w:pPr>
      <w:r w:rsidRPr="009E33E4">
        <w:rPr>
          <w:sz w:val="28"/>
          <w:szCs w:val="28"/>
        </w:rPr>
        <w:t>Theo quy định tại Nghị quyết số 1210/2016/UBTVQH13 ngày 25/5/2016 của Ủy ban Thường vụ Quốc hội về phân loại đô thị, thị trấn Nghèn mở rộng, huyện Can Lộc đã cơ bản đạt tiêu chí của đô thị loại IV, tổng số điểm UBND huyện Can Lộc tự đánh giá theo các tiêu chí phân loại đô thị thị trấn Nghèn hiện đạt 5/5 tiêu chí (56/59 tiêu chuẩn) và và đạt 90,63/75 điểm. Cụ thể:</w:t>
      </w:r>
    </w:p>
    <w:p w:rsidR="009E33E4" w:rsidRPr="009E33E4" w:rsidRDefault="009E33E4" w:rsidP="0050742E">
      <w:pPr>
        <w:spacing w:before="60" w:after="60"/>
        <w:ind w:firstLine="720"/>
        <w:jc w:val="both"/>
        <w:rPr>
          <w:sz w:val="28"/>
          <w:szCs w:val="28"/>
        </w:rPr>
      </w:pPr>
      <w:r w:rsidRPr="009E33E4">
        <w:rPr>
          <w:sz w:val="28"/>
          <w:szCs w:val="28"/>
        </w:rPr>
        <w:t>Tiêu chí 1: Vị trí, chức năng, vai trò, cơ cấu và trình độ phát triển kinh tế - xã hội (Đạt 7/7 tiêu chuẩn với 17,65/20 điểm)</w:t>
      </w:r>
    </w:p>
    <w:p w:rsidR="009E33E4" w:rsidRPr="009E33E4" w:rsidRDefault="009E33E4" w:rsidP="0050742E">
      <w:pPr>
        <w:spacing w:before="60" w:after="60"/>
        <w:ind w:firstLine="720"/>
        <w:jc w:val="both"/>
        <w:rPr>
          <w:sz w:val="28"/>
          <w:szCs w:val="28"/>
        </w:rPr>
      </w:pPr>
      <w:r w:rsidRPr="009E33E4">
        <w:rPr>
          <w:sz w:val="28"/>
          <w:szCs w:val="28"/>
        </w:rPr>
        <w:t>Tiêu chí 2: Quy mô dân số đô thị (Đạt 2/2 tiêu chuẩn 6,56/8 điểm)</w:t>
      </w:r>
    </w:p>
    <w:p w:rsidR="009E33E4" w:rsidRPr="009E33E4" w:rsidRDefault="009E33E4" w:rsidP="0050742E">
      <w:pPr>
        <w:spacing w:before="60" w:after="60"/>
        <w:ind w:firstLine="720"/>
        <w:jc w:val="both"/>
        <w:rPr>
          <w:sz w:val="28"/>
          <w:szCs w:val="28"/>
        </w:rPr>
      </w:pPr>
      <w:r w:rsidRPr="009E33E4">
        <w:rPr>
          <w:sz w:val="28"/>
          <w:szCs w:val="28"/>
        </w:rPr>
        <w:t>Tiêu chí 3: Mật độ dân số (Đạt 2/2 tiêu chuẩn với 6/6 điểm)</w:t>
      </w:r>
    </w:p>
    <w:p w:rsidR="009E33E4" w:rsidRPr="009E33E4" w:rsidRDefault="009E33E4" w:rsidP="0050742E">
      <w:pPr>
        <w:spacing w:before="60" w:after="60"/>
        <w:ind w:firstLine="720"/>
        <w:jc w:val="both"/>
        <w:rPr>
          <w:sz w:val="28"/>
          <w:szCs w:val="28"/>
        </w:rPr>
      </w:pPr>
      <w:r w:rsidRPr="009E33E4">
        <w:rPr>
          <w:sz w:val="28"/>
          <w:szCs w:val="28"/>
        </w:rPr>
        <w:t>Tiêu chí 4: Tỷ lệ lao động phi nông nghiệp (Đạt 2/2 tiêu chuẩn với  6/6 điểm)</w:t>
      </w:r>
    </w:p>
    <w:p w:rsidR="009E33E4" w:rsidRPr="009E33E4" w:rsidRDefault="009E33E4" w:rsidP="0050742E">
      <w:pPr>
        <w:spacing w:before="60" w:after="60"/>
        <w:ind w:firstLine="720"/>
        <w:jc w:val="both"/>
        <w:rPr>
          <w:sz w:val="28"/>
          <w:szCs w:val="28"/>
        </w:rPr>
      </w:pPr>
      <w:r w:rsidRPr="009E33E4">
        <w:rPr>
          <w:sz w:val="28"/>
          <w:szCs w:val="28"/>
        </w:rPr>
        <w:lastRenderedPageBreak/>
        <w:t>Tiêu chí 5: Trình độ phát triển cơ sở hạ tầng và kiến trúc cảnh quan đô thị (Đạt 43/46 tiêu chuẩn với 54,42/60 điểm)</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D25C8E" w:rsidRDefault="009E33E4" w:rsidP="0050742E">
      <w:pPr>
        <w:spacing w:before="60" w:after="60"/>
        <w:ind w:firstLine="720"/>
        <w:jc w:val="both"/>
        <w:rPr>
          <w:sz w:val="28"/>
          <w:szCs w:val="28"/>
          <w:lang w:val="nb-NO"/>
        </w:rPr>
      </w:pPr>
      <w:r w:rsidRPr="00471467">
        <w:rPr>
          <w:sz w:val="28"/>
          <w:szCs w:val="28"/>
          <w:lang w:val="nb-NO"/>
        </w:rPr>
        <w:t>Do vậy, UBND tỉnh dự kiến trình HĐND tỉnh thông qua Nghị quyết đề nghị công nhận thị trấn Nghèn đạt tiêu chuẩn đô thị loại IV</w:t>
      </w:r>
    </w:p>
    <w:p w:rsidR="007E7044" w:rsidRPr="007E7044" w:rsidRDefault="007E7044" w:rsidP="0050742E">
      <w:pPr>
        <w:spacing w:before="60" w:after="60"/>
        <w:ind w:firstLine="720"/>
        <w:jc w:val="both"/>
        <w:rPr>
          <w:sz w:val="28"/>
          <w:szCs w:val="28"/>
          <w:lang w:val="nb-NO"/>
        </w:rPr>
      </w:pPr>
      <w:r w:rsidRPr="007E7044">
        <w:rPr>
          <w:sz w:val="28"/>
          <w:szCs w:val="28"/>
          <w:lang w:val="nb-NO"/>
        </w:rPr>
        <w:t>Điểm số các tiêu chí có thể thay đổi sau khi Sở Xây dựng và các sở, ban, ngành liên quan đánh giá lại.</w:t>
      </w:r>
    </w:p>
    <w:p w:rsidR="00EB4204" w:rsidRPr="00EB4204" w:rsidRDefault="00EB4204" w:rsidP="0050742E">
      <w:pPr>
        <w:spacing w:before="60" w:after="60"/>
        <w:ind w:firstLine="720"/>
        <w:jc w:val="both"/>
        <w:rPr>
          <w:b/>
          <w:i/>
          <w:sz w:val="28"/>
          <w:szCs w:val="28"/>
          <w:lang w:val="vi-VN"/>
        </w:rPr>
      </w:pPr>
      <w:r w:rsidRPr="00FF6E15">
        <w:rPr>
          <w:b/>
          <w:i/>
          <w:sz w:val="28"/>
          <w:szCs w:val="28"/>
        </w:rPr>
        <w:t>3</w:t>
      </w:r>
      <w:r w:rsidRPr="00EB4204">
        <w:rPr>
          <w:b/>
          <w:i/>
          <w:sz w:val="28"/>
          <w:szCs w:val="28"/>
          <w:lang w:val="vi-VN"/>
        </w:rPr>
        <w:t>. Nghị quyết về việc thông qua Bảng giá đất năm 2020 trên địa bàn tỉnh.</w:t>
      </w:r>
    </w:p>
    <w:p w:rsidR="00806FB7" w:rsidRPr="00FF6E15" w:rsidRDefault="00806FB7" w:rsidP="0050742E">
      <w:pPr>
        <w:spacing w:before="60" w:after="60"/>
        <w:ind w:firstLine="720"/>
        <w:jc w:val="both"/>
        <w:rPr>
          <w:spacing w:val="-2"/>
          <w:sz w:val="28"/>
          <w:szCs w:val="28"/>
          <w:lang w:val="vi-VN"/>
        </w:rPr>
      </w:pPr>
      <w:r w:rsidRPr="00FF6E15">
        <w:rPr>
          <w:sz w:val="28"/>
          <w:szCs w:val="28"/>
          <w:lang w:val="nl-NL"/>
        </w:rPr>
        <w:t>Căn cứ</w:t>
      </w:r>
      <w:r w:rsidR="00EB4204" w:rsidRPr="00EB4204">
        <w:rPr>
          <w:sz w:val="28"/>
          <w:szCs w:val="28"/>
          <w:lang w:val="nl-NL"/>
        </w:rPr>
        <w:t xml:space="preserve"> Khoản 1</w:t>
      </w:r>
      <w:r w:rsidRPr="00FF6E15">
        <w:rPr>
          <w:sz w:val="28"/>
          <w:szCs w:val="28"/>
          <w:lang w:val="nl-NL"/>
        </w:rPr>
        <w:t>,</w:t>
      </w:r>
      <w:r w:rsidR="00EB4204" w:rsidRPr="00EB4204">
        <w:rPr>
          <w:sz w:val="28"/>
          <w:szCs w:val="28"/>
          <w:lang w:val="nl-NL"/>
        </w:rPr>
        <w:t xml:space="preserve"> Điều 114 Luật Đất đai 2013, Khoản 5 Điều 12 Nghị định số 44/2014/NĐ-CP ngày 15/5/2014 của Chính Phủ</w:t>
      </w:r>
      <w:r w:rsidRPr="00FF6E15">
        <w:rPr>
          <w:sz w:val="28"/>
          <w:szCs w:val="28"/>
          <w:lang w:val="nl-NL"/>
        </w:rPr>
        <w:t xml:space="preserve">, UBND tỉnh trình HĐND tỉnh ban hành Nghị quyết thông qua </w:t>
      </w:r>
      <w:r w:rsidRPr="00EB4204">
        <w:rPr>
          <w:sz w:val="28"/>
          <w:szCs w:val="28"/>
          <w:lang w:val="nl-NL"/>
        </w:rPr>
        <w:t>Bảng giá đất năm 2020 trên địa bàn tỉnh</w:t>
      </w:r>
      <w:r w:rsidRPr="00FF6E15">
        <w:rPr>
          <w:sz w:val="28"/>
          <w:szCs w:val="28"/>
          <w:lang w:val="nl-NL"/>
        </w:rPr>
        <w:t xml:space="preserve"> </w:t>
      </w:r>
      <w:r w:rsidR="00EB4204" w:rsidRPr="00EB4204">
        <w:rPr>
          <w:sz w:val="28"/>
          <w:szCs w:val="28"/>
          <w:lang w:val="nl-NL"/>
        </w:rPr>
        <w:t xml:space="preserve">để phục vụ công tác quản lý </w:t>
      </w:r>
      <w:r w:rsidR="00EB4204" w:rsidRPr="00EB4204">
        <w:rPr>
          <w:spacing w:val="-2"/>
          <w:sz w:val="28"/>
          <w:szCs w:val="28"/>
          <w:lang w:val="vi-VN"/>
        </w:rPr>
        <w:t>Nhà nước về giá đất</w:t>
      </w:r>
      <w:r w:rsidR="00EB4204" w:rsidRPr="00EB4204">
        <w:rPr>
          <w:spacing w:val="-2"/>
          <w:sz w:val="28"/>
          <w:szCs w:val="28"/>
          <w:lang w:val="nl-NL"/>
        </w:rPr>
        <w:t xml:space="preserve">, </w:t>
      </w:r>
      <w:r w:rsidRPr="00FF6E15">
        <w:rPr>
          <w:spacing w:val="-2"/>
          <w:sz w:val="28"/>
          <w:szCs w:val="28"/>
          <w:lang w:val="nl-NL"/>
        </w:rPr>
        <w:t>như</w:t>
      </w:r>
      <w:r w:rsidR="00EB4204" w:rsidRPr="00EB4204">
        <w:rPr>
          <w:spacing w:val="-2"/>
          <w:sz w:val="28"/>
          <w:szCs w:val="28"/>
          <w:lang w:val="vi-VN"/>
        </w:rPr>
        <w:t xml:space="preserve">: </w:t>
      </w:r>
    </w:p>
    <w:p w:rsidR="00806FB7" w:rsidRPr="00FF6E15" w:rsidRDefault="00806FB7" w:rsidP="0050742E">
      <w:pPr>
        <w:spacing w:before="60" w:after="60"/>
        <w:ind w:firstLine="720"/>
        <w:jc w:val="both"/>
        <w:rPr>
          <w:spacing w:val="-2"/>
          <w:sz w:val="28"/>
          <w:szCs w:val="28"/>
          <w:lang w:val="vi-VN"/>
        </w:rPr>
      </w:pPr>
      <w:r w:rsidRPr="00FF6E15">
        <w:rPr>
          <w:spacing w:val="-2"/>
          <w:sz w:val="28"/>
          <w:szCs w:val="28"/>
          <w:lang w:val="nl-NL"/>
        </w:rPr>
        <w:t>-</w:t>
      </w:r>
      <w:r w:rsidR="00EB4204" w:rsidRPr="00EB4204">
        <w:rPr>
          <w:spacing w:val="-2"/>
          <w:sz w:val="28"/>
          <w:szCs w:val="28"/>
          <w:lang w:val="nl-NL"/>
        </w:rPr>
        <w:t xml:space="preserve"> </w:t>
      </w:r>
      <w:r w:rsidR="00EB4204" w:rsidRPr="00EB4204">
        <w:rPr>
          <w:spacing w:val="-2"/>
          <w:sz w:val="28"/>
          <w:szCs w:val="28"/>
          <w:lang w:val="vi-VN"/>
        </w:rPr>
        <w:t>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rsidR="00806FB7" w:rsidRPr="00FF6E15" w:rsidRDefault="00806FB7" w:rsidP="0050742E">
      <w:pPr>
        <w:spacing w:before="60" w:after="60"/>
        <w:ind w:firstLine="720"/>
        <w:jc w:val="both"/>
        <w:rPr>
          <w:spacing w:val="-2"/>
          <w:sz w:val="28"/>
          <w:szCs w:val="28"/>
          <w:lang w:val="vi-VN"/>
        </w:rPr>
      </w:pPr>
      <w:r w:rsidRPr="00FF6E15">
        <w:rPr>
          <w:spacing w:val="-2"/>
          <w:sz w:val="28"/>
          <w:szCs w:val="28"/>
          <w:lang w:val="nl-NL"/>
        </w:rPr>
        <w:t>-</w:t>
      </w:r>
      <w:r w:rsidR="00EB4204" w:rsidRPr="00EB4204">
        <w:rPr>
          <w:spacing w:val="-2"/>
          <w:sz w:val="28"/>
          <w:szCs w:val="28"/>
          <w:lang w:val="nl-NL"/>
        </w:rPr>
        <w:t xml:space="preserve"> </w:t>
      </w:r>
      <w:r w:rsidR="00EB4204" w:rsidRPr="00EB4204">
        <w:rPr>
          <w:spacing w:val="-2"/>
          <w:sz w:val="28"/>
          <w:szCs w:val="28"/>
          <w:lang w:val="vi-VN"/>
        </w:rPr>
        <w:t>Tính thuế sử dụng đất;</w:t>
      </w:r>
    </w:p>
    <w:p w:rsidR="00806FB7" w:rsidRPr="00FF6E15" w:rsidRDefault="00806FB7" w:rsidP="0050742E">
      <w:pPr>
        <w:spacing w:before="60" w:after="60"/>
        <w:ind w:firstLine="720"/>
        <w:jc w:val="both"/>
        <w:rPr>
          <w:spacing w:val="-2"/>
          <w:sz w:val="28"/>
          <w:szCs w:val="28"/>
          <w:lang w:val="nl-NL"/>
        </w:rPr>
      </w:pPr>
      <w:r w:rsidRPr="00FF6E15">
        <w:rPr>
          <w:spacing w:val="-2"/>
          <w:sz w:val="28"/>
          <w:szCs w:val="28"/>
          <w:lang w:val="nl-NL"/>
        </w:rPr>
        <w:t>-</w:t>
      </w:r>
      <w:r w:rsidR="00EB4204" w:rsidRPr="00EB4204">
        <w:rPr>
          <w:spacing w:val="-2"/>
          <w:sz w:val="28"/>
          <w:szCs w:val="28"/>
          <w:lang w:val="nl-NL"/>
        </w:rPr>
        <w:t xml:space="preserve"> </w:t>
      </w:r>
      <w:r w:rsidR="00EB4204" w:rsidRPr="00EB4204">
        <w:rPr>
          <w:spacing w:val="-2"/>
          <w:sz w:val="28"/>
          <w:szCs w:val="28"/>
          <w:lang w:val="vi-VN"/>
        </w:rPr>
        <w:t>Tính phí và lệ phí trong quản lý, sử dụng đất đai;</w:t>
      </w:r>
      <w:r w:rsidR="00EB4204" w:rsidRPr="00EB4204">
        <w:rPr>
          <w:spacing w:val="-2"/>
          <w:sz w:val="28"/>
          <w:szCs w:val="28"/>
          <w:lang w:val="nl-NL"/>
        </w:rPr>
        <w:t xml:space="preserve"> </w:t>
      </w:r>
    </w:p>
    <w:p w:rsidR="00806FB7" w:rsidRPr="00FF6E15" w:rsidRDefault="00806FB7" w:rsidP="0050742E">
      <w:pPr>
        <w:spacing w:before="60" w:after="60"/>
        <w:ind w:firstLine="720"/>
        <w:jc w:val="both"/>
        <w:rPr>
          <w:spacing w:val="-2"/>
          <w:sz w:val="28"/>
          <w:szCs w:val="28"/>
          <w:lang w:val="vi-VN"/>
        </w:rPr>
      </w:pPr>
      <w:r w:rsidRPr="00FF6E15">
        <w:rPr>
          <w:spacing w:val="-2"/>
          <w:sz w:val="28"/>
          <w:szCs w:val="28"/>
          <w:lang w:val="nl-NL"/>
        </w:rPr>
        <w:t>-</w:t>
      </w:r>
      <w:r w:rsidR="00EB4204" w:rsidRPr="00EB4204">
        <w:rPr>
          <w:spacing w:val="-2"/>
          <w:sz w:val="28"/>
          <w:szCs w:val="28"/>
          <w:lang w:val="nl-NL"/>
        </w:rPr>
        <w:t xml:space="preserve"> </w:t>
      </w:r>
      <w:r w:rsidR="00EB4204" w:rsidRPr="00EB4204">
        <w:rPr>
          <w:spacing w:val="-2"/>
          <w:sz w:val="28"/>
          <w:szCs w:val="28"/>
          <w:lang w:val="vi-VN"/>
        </w:rPr>
        <w:t xml:space="preserve">Tính tiền xử phạt vi phạm hành chính trong lĩnh vực đất đai; </w:t>
      </w:r>
    </w:p>
    <w:p w:rsidR="00806FB7" w:rsidRPr="00FF6E15" w:rsidRDefault="00806FB7" w:rsidP="0050742E">
      <w:pPr>
        <w:spacing w:before="60" w:after="60"/>
        <w:ind w:firstLine="720"/>
        <w:jc w:val="both"/>
        <w:rPr>
          <w:spacing w:val="-2"/>
          <w:sz w:val="28"/>
          <w:szCs w:val="28"/>
          <w:lang w:val="vi-VN"/>
        </w:rPr>
      </w:pPr>
      <w:r w:rsidRPr="00FF6E15">
        <w:rPr>
          <w:spacing w:val="-2"/>
          <w:sz w:val="28"/>
          <w:szCs w:val="28"/>
          <w:lang w:val="nl-NL"/>
        </w:rPr>
        <w:t>-</w:t>
      </w:r>
      <w:r w:rsidR="00EB4204" w:rsidRPr="00EB4204">
        <w:rPr>
          <w:spacing w:val="-2"/>
          <w:sz w:val="28"/>
          <w:szCs w:val="28"/>
          <w:lang w:val="nl-NL"/>
        </w:rPr>
        <w:t xml:space="preserve"> </w:t>
      </w:r>
      <w:r w:rsidR="00EB4204" w:rsidRPr="00EB4204">
        <w:rPr>
          <w:spacing w:val="-2"/>
          <w:sz w:val="28"/>
          <w:szCs w:val="28"/>
          <w:lang w:val="vi-VN"/>
        </w:rPr>
        <w:t xml:space="preserve">Tính tiền bồi thường cho Nhà nước khi gây thiệt hại trong quản lý và sử dụng đất đai; </w:t>
      </w:r>
    </w:p>
    <w:p w:rsidR="00EB4204" w:rsidRPr="00EB4204" w:rsidRDefault="00806FB7" w:rsidP="0050742E">
      <w:pPr>
        <w:spacing w:before="60" w:after="60"/>
        <w:ind w:firstLine="720"/>
        <w:jc w:val="both"/>
        <w:rPr>
          <w:sz w:val="28"/>
          <w:szCs w:val="28"/>
          <w:lang w:val="nl-NL"/>
        </w:rPr>
      </w:pPr>
      <w:r w:rsidRPr="00FF6E15">
        <w:rPr>
          <w:spacing w:val="-2"/>
          <w:sz w:val="28"/>
          <w:szCs w:val="28"/>
          <w:lang w:val="nl-NL"/>
        </w:rPr>
        <w:t>-</w:t>
      </w:r>
      <w:r w:rsidR="00EB4204" w:rsidRPr="00EB4204">
        <w:rPr>
          <w:spacing w:val="-2"/>
          <w:sz w:val="28"/>
          <w:szCs w:val="28"/>
          <w:lang w:val="nl-NL"/>
        </w:rPr>
        <w:t xml:space="preserve"> </w:t>
      </w:r>
      <w:r w:rsidR="00EB4204" w:rsidRPr="00EB4204">
        <w:rPr>
          <w:spacing w:val="-2"/>
          <w:sz w:val="28"/>
          <w:szCs w:val="28"/>
          <w:lang w:val="vi-VN"/>
        </w:rPr>
        <w:t>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r w:rsidR="00EB4204" w:rsidRPr="00EB4204">
        <w:rPr>
          <w:spacing w:val="-2"/>
          <w:sz w:val="28"/>
          <w:szCs w:val="28"/>
          <w:lang w:val="nl-NL"/>
        </w:rPr>
        <w:t>.</w:t>
      </w:r>
    </w:p>
    <w:p w:rsidR="00EB4204" w:rsidRPr="00EB4204" w:rsidRDefault="00FF6E15" w:rsidP="0050742E">
      <w:pPr>
        <w:spacing w:before="60" w:after="60"/>
        <w:ind w:firstLine="720"/>
        <w:jc w:val="both"/>
        <w:rPr>
          <w:b/>
          <w:i/>
          <w:sz w:val="28"/>
          <w:szCs w:val="28"/>
          <w:lang w:val="vi-VN"/>
        </w:rPr>
      </w:pPr>
      <w:r w:rsidRPr="00FF6E15">
        <w:rPr>
          <w:b/>
          <w:i/>
          <w:sz w:val="28"/>
          <w:szCs w:val="28"/>
          <w:lang w:val="vi-VN"/>
        </w:rPr>
        <w:t>4</w:t>
      </w:r>
      <w:r w:rsidR="00EB4204" w:rsidRPr="00EB4204">
        <w:rPr>
          <w:b/>
          <w:i/>
          <w:sz w:val="28"/>
          <w:szCs w:val="28"/>
          <w:lang w:val="vi-VN"/>
        </w:rPr>
        <w:t xml:space="preserve">. Nghị quyết về sửa đổi, bổ sung Nghị quyết số </w:t>
      </w:r>
      <w:r w:rsidR="005527C8" w:rsidRPr="00EB4204">
        <w:rPr>
          <w:b/>
          <w:i/>
          <w:sz w:val="28"/>
          <w:szCs w:val="28"/>
          <w:lang w:val="vi-VN"/>
        </w:rPr>
        <w:t xml:space="preserve">79/2017/NQ-HĐND </w:t>
      </w:r>
      <w:r w:rsidR="005527C8">
        <w:rPr>
          <w:b/>
          <w:i/>
          <w:sz w:val="28"/>
          <w:szCs w:val="28"/>
        </w:rPr>
        <w:t xml:space="preserve">ngày 13/12/2019 </w:t>
      </w:r>
      <w:r w:rsidR="00EB4204" w:rsidRPr="00EB4204">
        <w:rPr>
          <w:b/>
          <w:i/>
          <w:sz w:val="28"/>
          <w:szCs w:val="28"/>
          <w:lang w:val="vi-VN"/>
        </w:rPr>
        <w:t xml:space="preserve">của HĐND tỉnh về một số chính sách </w:t>
      </w:r>
      <w:r w:rsidR="005527C8" w:rsidRPr="005527C8">
        <w:rPr>
          <w:b/>
          <w:i/>
          <w:sz w:val="28"/>
          <w:szCs w:val="28"/>
          <w:lang w:val="vi-VN"/>
        </w:rPr>
        <w:t>b</w:t>
      </w:r>
      <w:r w:rsidRPr="005527C8">
        <w:rPr>
          <w:b/>
          <w:i/>
          <w:sz w:val="28"/>
          <w:szCs w:val="28"/>
          <w:lang w:val="vi-VN"/>
        </w:rPr>
        <w:t>ảo vệ môi trường</w:t>
      </w:r>
      <w:r w:rsidR="00EB4204" w:rsidRPr="00EB4204">
        <w:rPr>
          <w:b/>
          <w:i/>
          <w:sz w:val="28"/>
          <w:szCs w:val="28"/>
          <w:lang w:val="vi-VN"/>
        </w:rPr>
        <w:t xml:space="preserve"> giai đoạn 2018 </w:t>
      </w:r>
      <w:r w:rsidRPr="005527C8">
        <w:rPr>
          <w:b/>
          <w:i/>
          <w:sz w:val="28"/>
          <w:szCs w:val="28"/>
          <w:lang w:val="vi-VN"/>
        </w:rPr>
        <w:t>-</w:t>
      </w:r>
      <w:r w:rsidR="00EB4204" w:rsidRPr="00EB4204">
        <w:rPr>
          <w:b/>
          <w:i/>
          <w:sz w:val="28"/>
          <w:szCs w:val="28"/>
          <w:lang w:val="vi-VN"/>
        </w:rPr>
        <w:t xml:space="preserve"> 2020.</w:t>
      </w:r>
    </w:p>
    <w:p w:rsidR="005527C8" w:rsidRPr="005527C8" w:rsidRDefault="005527C8" w:rsidP="0050742E">
      <w:pPr>
        <w:spacing w:before="60" w:after="60"/>
        <w:ind w:firstLine="720"/>
        <w:jc w:val="both"/>
        <w:rPr>
          <w:spacing w:val="-2"/>
          <w:sz w:val="28"/>
          <w:szCs w:val="28"/>
          <w:lang w:val="vi-VN"/>
        </w:rPr>
      </w:pPr>
      <w:r w:rsidRPr="005527C8">
        <w:rPr>
          <w:spacing w:val="-2"/>
          <w:sz w:val="28"/>
          <w:szCs w:val="28"/>
          <w:lang w:val="vi-VN"/>
        </w:rPr>
        <w:t xml:space="preserve">Để kịp thời tháo gỡ những khó khăn, vướng mắc trong thực hiện chính sách bảo vệ môi trường </w:t>
      </w:r>
      <w:r w:rsidRPr="00EB4204">
        <w:rPr>
          <w:spacing w:val="-2"/>
          <w:sz w:val="28"/>
          <w:szCs w:val="28"/>
          <w:lang w:val="vi-VN"/>
        </w:rPr>
        <w:t>giai đoạn 2018</w:t>
      </w:r>
      <w:r w:rsidRPr="005527C8">
        <w:rPr>
          <w:spacing w:val="-2"/>
          <w:sz w:val="28"/>
          <w:szCs w:val="28"/>
          <w:lang w:val="vi-VN"/>
        </w:rPr>
        <w:t>-</w:t>
      </w:r>
      <w:r w:rsidRPr="00EB4204">
        <w:rPr>
          <w:spacing w:val="-2"/>
          <w:sz w:val="28"/>
          <w:szCs w:val="28"/>
          <w:lang w:val="vi-VN"/>
        </w:rPr>
        <w:t>2020</w:t>
      </w:r>
      <w:r w:rsidRPr="005527C8">
        <w:rPr>
          <w:spacing w:val="-2"/>
          <w:sz w:val="28"/>
          <w:szCs w:val="28"/>
          <w:lang w:val="vi-VN"/>
        </w:rPr>
        <w:t xml:space="preserve"> theo Nghị quyết </w:t>
      </w:r>
      <w:r w:rsidRPr="00EB4204">
        <w:rPr>
          <w:spacing w:val="-2"/>
          <w:sz w:val="28"/>
          <w:szCs w:val="28"/>
          <w:lang w:val="vi-VN"/>
        </w:rPr>
        <w:t xml:space="preserve">số 79/2017/NQ-HĐND </w:t>
      </w:r>
      <w:r w:rsidRPr="005527C8">
        <w:rPr>
          <w:spacing w:val="-2"/>
          <w:sz w:val="28"/>
          <w:szCs w:val="28"/>
          <w:lang w:val="vi-VN"/>
        </w:rPr>
        <w:t xml:space="preserve">ngày 13/12/2017 của HĐND tỉnh; UBND tỉnh dự kiến sẽ trình HĐND tỉnh thông qua </w:t>
      </w:r>
      <w:r w:rsidRPr="00EB4204">
        <w:rPr>
          <w:spacing w:val="-2"/>
          <w:sz w:val="28"/>
          <w:szCs w:val="28"/>
          <w:lang w:val="vi-VN"/>
        </w:rPr>
        <w:t xml:space="preserve">Nghị quyết về sửa đổi, bổ sung Nghị quyết số 79/2017/NQ-HĐND </w:t>
      </w:r>
      <w:r w:rsidRPr="005527C8">
        <w:rPr>
          <w:spacing w:val="-2"/>
          <w:sz w:val="28"/>
          <w:szCs w:val="28"/>
          <w:lang w:val="vi-VN"/>
        </w:rPr>
        <w:t>ngày 13/12/2019 với các nội dung cụ thể như sau:</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 xml:space="preserve">- Về đối tượng hưởng chính sách hỗ trợ chế phẩm sinh học xử lý mùi và xe thu gom rác, thùng đựng rác: </w:t>
      </w:r>
      <w:r w:rsidR="005527C8" w:rsidRPr="005527C8">
        <w:rPr>
          <w:spacing w:val="-2"/>
          <w:sz w:val="28"/>
          <w:szCs w:val="28"/>
          <w:lang w:val="vi-VN"/>
        </w:rPr>
        <w:t>B</w:t>
      </w:r>
      <w:r w:rsidRPr="00EB4204">
        <w:rPr>
          <w:spacing w:val="-2"/>
          <w:sz w:val="28"/>
          <w:szCs w:val="28"/>
          <w:lang w:val="vi-VN"/>
        </w:rPr>
        <w:t>ổ sung thêm đối tượng là tổ đội vệ sinh môi trường thực hiện thu gom, vận chuyển rác thải trên địa bàn 01 xã/phường/thị trấn. Nếu 1 đơn vị xã có nhiều tổ, đội vệ sinh môi trường thì tổng hỗ trợ được tính bằng 1 đơn vị xã.</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 xml:space="preserve">- Về nội dung hỗ trợ kinh phí mua xe chuyên dùng vận chuyển rác thải sinh hoạt: </w:t>
      </w:r>
      <w:r w:rsidR="005527C8" w:rsidRPr="005527C8">
        <w:rPr>
          <w:spacing w:val="-2"/>
          <w:sz w:val="28"/>
          <w:szCs w:val="28"/>
          <w:lang w:val="vi-VN"/>
        </w:rPr>
        <w:t>X</w:t>
      </w:r>
      <w:r w:rsidRPr="00EB4204">
        <w:rPr>
          <w:spacing w:val="-2"/>
          <w:sz w:val="28"/>
          <w:szCs w:val="28"/>
          <w:lang w:val="vi-VN"/>
        </w:rPr>
        <w:t xml:space="preserve">ác định đối tượng hỗ trợ theo địa bàn thu gom rác cụm xã (ít nhất là 05 xã/cụm hoặc 01 thị trấn và 02 xã/cụm), số lượng xe hỗ trợ là 01 xe/đơn vị HTX, mức hỗ trợ 70% tổng mức đầu tư nhưng không quá 1.000 triệu đồng/xe”. </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lastRenderedPageBreak/>
        <w:t>- Điều chỉnh mức hỗ trợ chế phẩm sinh học đối với đơn vị HTX/tổ đội vệ sinh môi trường thu gom, vận chuyển rác thải sinh hoạt đến thẳng cơ sở xử lý (không có bãi tập kết/ điểm trung chuyển), mức hỗ trợ tối đa 10 triệu đồng/đơn vị HTX hoặc xã/năm. (trước đây hỗ trợ chung 15 triệu đồng/HTX/năm)</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 xml:space="preserve">- Chỉnh sửa chính sách hỗ trợ mua thùng rác phục vụ phân loại rác nguồn tại thành phố Hà Tĩnh, thị xã Hồng Lĩnh, thị xã Kỳ Anh: tối đa: 100 nghìn đồng/hộ. (trước đây ghi chung hỗ trợ 2 thùng rác/hộ) </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 Chỉnh sửa chính sách hỗ trợ kinh phí đào tạo, hướng dẫn, tập huấn, truyền thông về phân loại rác tại nguồn: hỗ trợ 100% kinh phí, tối đa: 15 triệu đồng/xã, phường/năm.” (trước đây ghi hỗ trợ tối đa 50 triệu đồng/năm/xã, phường, thị trấn nhưng thực tế trong năm 2018-2019 chỉ được cấp chưa đến 15 triệu đồng/xã, phường/năm).</w:t>
      </w:r>
    </w:p>
    <w:p w:rsidR="00EB4204" w:rsidRPr="00EB4204" w:rsidRDefault="005527C8" w:rsidP="0050742E">
      <w:pPr>
        <w:spacing w:before="60" w:after="60"/>
        <w:ind w:firstLine="720"/>
        <w:jc w:val="both"/>
        <w:rPr>
          <w:b/>
          <w:i/>
          <w:sz w:val="28"/>
          <w:szCs w:val="28"/>
          <w:lang w:val="vi-VN"/>
        </w:rPr>
      </w:pPr>
      <w:r w:rsidRPr="005527C8">
        <w:rPr>
          <w:b/>
          <w:i/>
          <w:sz w:val="28"/>
          <w:szCs w:val="28"/>
          <w:lang w:val="vi-VN"/>
        </w:rPr>
        <w:t>5</w:t>
      </w:r>
      <w:r w:rsidR="00EB4204" w:rsidRPr="00EB4204">
        <w:rPr>
          <w:b/>
          <w:i/>
          <w:sz w:val="28"/>
          <w:szCs w:val="28"/>
          <w:lang w:val="vi-VN"/>
        </w:rPr>
        <w:t>. Nghị quyết thông qua Đề án “Cập nhật, chỉnh lý bản đồ và hồ sơ địa chính trên địa bàn tỉnh Hà Tĩnh giai đoạn 2020-2025 và những năm tiếp theo”</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 xml:space="preserve">Để triển khai thực hiện công tác cập nhật, chỉnh lý bản đồ và hồ sơ địa chính, xây dựng cơ sở dữ liệu đất đai theo chức năng, nhiệm vụ của Văn phòng đăng ký đất đai, UBND tỉnh trình Hội dồng nhân dân tỉnh </w:t>
      </w:r>
      <w:r w:rsidR="00D55DCE" w:rsidRPr="00D55DCE">
        <w:rPr>
          <w:spacing w:val="-2"/>
          <w:sz w:val="28"/>
          <w:szCs w:val="28"/>
          <w:lang w:val="vi-VN"/>
        </w:rPr>
        <w:t xml:space="preserve">thông qua </w:t>
      </w:r>
      <w:r w:rsidRPr="00EB4204">
        <w:rPr>
          <w:spacing w:val="-2"/>
          <w:sz w:val="28"/>
          <w:szCs w:val="28"/>
          <w:lang w:val="vi-VN"/>
        </w:rPr>
        <w:t xml:space="preserve">Đề án “Cập nhật, chỉnh lý bản đồ và hồ sơ địa chính trên địa bàn tỉnh Hà Tĩnh giai đoạn 2020-2025 và những năm tiếp theo”. </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Mục tiêu của Đề án là ứng dụng công nghệ thông tin để cập nhật thường xuyên biến động thông tin thửa đất trên bản đồ và hồ sơ địa chính phù hợp với hiện trạng sử dụng trên nền tảng hạ tầng công nghệ thông tin dùng chung, có chia sẻ với các cấp, các ngành nhằm khai thác sử dụng công khai, minh bạch.</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Về nguồn kinh phí thực hiện đề án sẽ do ngân sách nhà nước bố trí và nguồn thu dịch vụ công do Văn phòng đăng ký đất đai thực hiện hàng năm, cụ thể:</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 Ngân sách nhà nước bố trí thực hiện hoàn thiện hồ sơ địa chính 19 xã còn lại và cập nhật chỉnh lý biến động các thửa đất kể từ khi đo đạc bản đồ địa chính đến hết năm 2019.</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 xml:space="preserve">- Nguồn thu dịch vụ công do Văn phòng đăng ký đất đai thực hiện sẽ chịu trách nhiệm cập nhật, chỉnh lý biến động bản đồ và hồ sơ địa chính các thửa đất biến động kể từ năm 2020 trở về sau thông qua việc thu giá dịch vụ của người sử dụng đất có biến động. </w:t>
      </w:r>
    </w:p>
    <w:p w:rsidR="00EB4204" w:rsidRPr="00EB4204" w:rsidRDefault="00EB4204" w:rsidP="0050742E">
      <w:pPr>
        <w:spacing w:before="60" w:after="60"/>
        <w:ind w:firstLine="720"/>
        <w:jc w:val="both"/>
        <w:rPr>
          <w:spacing w:val="-2"/>
          <w:sz w:val="28"/>
          <w:szCs w:val="28"/>
          <w:lang w:val="vi-VN"/>
        </w:rPr>
      </w:pPr>
      <w:r w:rsidRPr="00EB4204">
        <w:rPr>
          <w:spacing w:val="-2"/>
          <w:sz w:val="28"/>
          <w:szCs w:val="28"/>
          <w:lang w:val="vi-VN"/>
        </w:rPr>
        <w:t>Đề án rất cần thiết trong công tác quản lý đất đai cũng như trong thực tiễn, đó là việc ứng dụng công nghệ thông tin vào quản lý đất đai, biến động đất đai thường xuyên được cập nhật vào hệ thống, giúp chính quyền các cấp nắm chắc quỹ đất, kiểm soát được biến động đất đai, công khai minh bạch thông tin đất đai, huy động nguồn lực từ người sử dung đất thông qua việc cung cấp dịch vụ công.</w:t>
      </w:r>
    </w:p>
    <w:p w:rsidR="00EB4204" w:rsidRPr="00EB4204" w:rsidRDefault="00D55DCE" w:rsidP="0050742E">
      <w:pPr>
        <w:spacing w:before="60" w:after="60"/>
        <w:ind w:firstLine="720"/>
        <w:jc w:val="both"/>
        <w:rPr>
          <w:b/>
          <w:i/>
          <w:sz w:val="28"/>
          <w:szCs w:val="28"/>
          <w:lang w:val="vi-VN"/>
        </w:rPr>
      </w:pPr>
      <w:r w:rsidRPr="00D55DCE">
        <w:rPr>
          <w:b/>
          <w:i/>
          <w:sz w:val="28"/>
          <w:szCs w:val="28"/>
          <w:lang w:val="vi-VN"/>
        </w:rPr>
        <w:t>6</w:t>
      </w:r>
      <w:r w:rsidR="00EB4204" w:rsidRPr="00EB4204">
        <w:rPr>
          <w:b/>
          <w:i/>
          <w:sz w:val="28"/>
          <w:szCs w:val="28"/>
          <w:lang w:val="vi-VN"/>
        </w:rPr>
        <w:t>. Nghị quyết thông qua Danh mục công trình, dự án cần thu hồi đất, chuyển mục đích sử dụng đất trồng lúa, đất rừng phòng hộ, đất rừng đặc dụng năm 2020.</w:t>
      </w:r>
    </w:p>
    <w:p w:rsidR="00471467" w:rsidRDefault="00E619B3" w:rsidP="0050742E">
      <w:pPr>
        <w:spacing w:before="60" w:after="60"/>
        <w:ind w:firstLine="567"/>
        <w:jc w:val="both"/>
        <w:rPr>
          <w:spacing w:val="-2"/>
          <w:sz w:val="28"/>
          <w:szCs w:val="28"/>
          <w:lang w:val="vi-VN"/>
        </w:rPr>
      </w:pPr>
      <w:r w:rsidRPr="00E619B3">
        <w:rPr>
          <w:spacing w:val="-2"/>
          <w:sz w:val="28"/>
          <w:szCs w:val="28"/>
          <w:lang w:val="vi-VN"/>
        </w:rPr>
        <w:t xml:space="preserve">Tại kỳ họp HĐND cuối năm 2019, UBND tỉnh dự kiến sẽ trình HĐND tỉnh </w:t>
      </w:r>
      <w:r w:rsidRPr="00EB4204">
        <w:rPr>
          <w:spacing w:val="-2"/>
          <w:sz w:val="28"/>
          <w:szCs w:val="28"/>
          <w:lang w:val="vi-VN"/>
        </w:rPr>
        <w:t>Nghị quyết thông qua Danh mục công trình, dự án cần thu hồi đất, chuyển mục đích sử dụng đất trồng lúa, đất rừng phòng hộ, đất rừng đặc dụng năm 2020.</w:t>
      </w:r>
    </w:p>
    <w:p w:rsidR="00DF7D7C" w:rsidRDefault="00DF7D7C" w:rsidP="0050742E">
      <w:pPr>
        <w:spacing w:before="60" w:after="60"/>
        <w:ind w:firstLine="720"/>
        <w:jc w:val="both"/>
        <w:rPr>
          <w:b/>
          <w:i/>
          <w:sz w:val="28"/>
          <w:szCs w:val="28"/>
          <w:lang w:val="vi-VN"/>
        </w:rPr>
      </w:pPr>
      <w:r w:rsidRPr="00DF7D7C">
        <w:rPr>
          <w:b/>
          <w:i/>
          <w:sz w:val="28"/>
          <w:szCs w:val="28"/>
          <w:lang w:val="vi-VN"/>
        </w:rPr>
        <w:lastRenderedPageBreak/>
        <w:t>7. Nghị quyết quy định tặng “Huy hiệu vì sự phát triển tỉnh Hà Tĩnh”</w:t>
      </w:r>
    </w:p>
    <w:p w:rsidR="00153D00" w:rsidRDefault="00DF7D7C" w:rsidP="0050742E">
      <w:pPr>
        <w:spacing w:before="60" w:after="60"/>
        <w:ind w:firstLine="720"/>
        <w:jc w:val="both"/>
        <w:rPr>
          <w:spacing w:val="-2"/>
          <w:sz w:val="28"/>
          <w:szCs w:val="28"/>
        </w:rPr>
      </w:pPr>
      <w:r>
        <w:rPr>
          <w:spacing w:val="-2"/>
          <w:sz w:val="28"/>
          <w:szCs w:val="28"/>
        </w:rPr>
        <w:t>Đ</w:t>
      </w:r>
      <w:r w:rsidRPr="00DF7D7C">
        <w:rPr>
          <w:spacing w:val="-2"/>
          <w:sz w:val="28"/>
          <w:szCs w:val="28"/>
          <w:lang w:val="vi-VN"/>
        </w:rPr>
        <w:t xml:space="preserve">ể ghi nhận công lao, thành tích đồng thời động viên, giáo dục, nêu gương trong cộng đồng dân cư, phát huy truyền thống thi đua yêu nước, ra sức phấn đấu hoàn thành tốt nhiệm vụ trên từng lĩnh vực công tác, góp phần vào sự nghiệp xây dựng và phát triển Hà Tĩnh văn minh, </w:t>
      </w:r>
      <w:r>
        <w:rPr>
          <w:spacing w:val="-2"/>
          <w:sz w:val="28"/>
          <w:szCs w:val="28"/>
          <w:lang w:val="vi-VN"/>
        </w:rPr>
        <w:t xml:space="preserve">giàu mạnh tại kỳ họp </w:t>
      </w:r>
      <w:r w:rsidRPr="00E619B3">
        <w:rPr>
          <w:spacing w:val="-2"/>
          <w:sz w:val="28"/>
          <w:szCs w:val="28"/>
          <w:lang w:val="vi-VN"/>
        </w:rPr>
        <w:t xml:space="preserve">HĐND cuối năm 2019, UBND tỉnh dự kiến sẽ trình HĐND tỉnh </w:t>
      </w:r>
      <w:r w:rsidRPr="00DF7D7C">
        <w:rPr>
          <w:spacing w:val="-2"/>
          <w:sz w:val="28"/>
          <w:szCs w:val="28"/>
          <w:lang w:val="vi-VN"/>
        </w:rPr>
        <w:t>Nghị quyết quy định tặng “Huy hiệu</w:t>
      </w:r>
      <w:r>
        <w:rPr>
          <w:spacing w:val="-2"/>
          <w:sz w:val="28"/>
          <w:szCs w:val="28"/>
          <w:lang w:val="vi-VN"/>
        </w:rPr>
        <w:t xml:space="preserve"> vì sự phát triển tỉnh Hà Tĩnh”</w:t>
      </w:r>
      <w:r w:rsidR="007E1036">
        <w:rPr>
          <w:spacing w:val="-2"/>
          <w:sz w:val="28"/>
          <w:szCs w:val="28"/>
        </w:rPr>
        <w:t>,</w:t>
      </w:r>
      <w:r w:rsidR="00153D00">
        <w:rPr>
          <w:spacing w:val="-2"/>
          <w:sz w:val="28"/>
          <w:szCs w:val="28"/>
        </w:rPr>
        <w:t xml:space="preserve"> với </w:t>
      </w:r>
      <w:r w:rsidR="00333835">
        <w:rPr>
          <w:spacing w:val="-2"/>
          <w:sz w:val="28"/>
          <w:szCs w:val="28"/>
        </w:rPr>
        <w:t>m</w:t>
      </w:r>
      <w:r w:rsidR="00333835" w:rsidRPr="00333835">
        <w:rPr>
          <w:spacing w:val="-2"/>
          <w:sz w:val="28"/>
          <w:szCs w:val="28"/>
        </w:rPr>
        <w:t>ức thưởng và kinh phí khen thưởng</w:t>
      </w:r>
      <w:r w:rsidR="00333835">
        <w:rPr>
          <w:spacing w:val="-2"/>
          <w:sz w:val="28"/>
          <w:szCs w:val="28"/>
        </w:rPr>
        <w:t xml:space="preserve"> được quy định cụ thể như sau:</w:t>
      </w:r>
    </w:p>
    <w:p w:rsidR="00153D00" w:rsidRDefault="00153D00" w:rsidP="0050742E">
      <w:pPr>
        <w:spacing w:before="60" w:after="60"/>
        <w:ind w:firstLine="720"/>
        <w:jc w:val="both"/>
        <w:rPr>
          <w:spacing w:val="-2"/>
          <w:sz w:val="28"/>
          <w:szCs w:val="28"/>
        </w:rPr>
      </w:pPr>
      <w:r>
        <w:rPr>
          <w:spacing w:val="-2"/>
          <w:sz w:val="28"/>
          <w:szCs w:val="28"/>
        </w:rPr>
        <w:t xml:space="preserve">- </w:t>
      </w:r>
      <w:r w:rsidRPr="00153D00">
        <w:rPr>
          <w:spacing w:val="-2"/>
          <w:sz w:val="28"/>
          <w:szCs w:val="28"/>
        </w:rPr>
        <w:t>Cá nhân được tặng Huy hiệu</w:t>
      </w:r>
      <w:r>
        <w:rPr>
          <w:spacing w:val="-2"/>
          <w:sz w:val="28"/>
          <w:szCs w:val="28"/>
        </w:rPr>
        <w:t xml:space="preserve"> </w:t>
      </w:r>
      <w:r w:rsidRPr="00153D00">
        <w:rPr>
          <w:spacing w:val="-2"/>
          <w:sz w:val="28"/>
          <w:szCs w:val="28"/>
        </w:rPr>
        <w:t>“Vì sự phát triển tỉnh Hà Tĩnh” được cấp Giấy chứng nhận, Huy hiệu và tiền</w:t>
      </w:r>
      <w:r>
        <w:rPr>
          <w:spacing w:val="-2"/>
          <w:sz w:val="28"/>
          <w:szCs w:val="28"/>
        </w:rPr>
        <w:t xml:space="preserve"> </w:t>
      </w:r>
      <w:r w:rsidRPr="00153D00">
        <w:rPr>
          <w:spacing w:val="-2"/>
          <w:sz w:val="28"/>
          <w:szCs w:val="28"/>
        </w:rPr>
        <w:t>thưởng bằng 1,5 lần mức lương cơ sở do Nhà nước quy định.</w:t>
      </w:r>
    </w:p>
    <w:p w:rsidR="00153D00" w:rsidRDefault="00153D00" w:rsidP="0050742E">
      <w:pPr>
        <w:spacing w:before="60" w:after="60"/>
        <w:ind w:firstLine="720"/>
        <w:jc w:val="both"/>
        <w:rPr>
          <w:spacing w:val="-2"/>
          <w:sz w:val="28"/>
          <w:szCs w:val="28"/>
        </w:rPr>
      </w:pPr>
      <w:r>
        <w:rPr>
          <w:spacing w:val="-2"/>
          <w:sz w:val="28"/>
          <w:szCs w:val="28"/>
        </w:rPr>
        <w:t xml:space="preserve">- </w:t>
      </w:r>
      <w:r w:rsidRPr="00153D00">
        <w:rPr>
          <w:spacing w:val="-2"/>
          <w:sz w:val="28"/>
          <w:szCs w:val="28"/>
        </w:rPr>
        <w:t>Kinh phí khen thưởng được trích từ Quỹ Thi đua, khen thưởng của tỉnh.</w:t>
      </w:r>
    </w:p>
    <w:p w:rsidR="0083400A" w:rsidRPr="001F59E5" w:rsidRDefault="0083400A" w:rsidP="0050742E">
      <w:pPr>
        <w:spacing w:before="60" w:after="60"/>
        <w:ind w:firstLine="720"/>
        <w:jc w:val="both"/>
        <w:rPr>
          <w:b/>
          <w:i/>
          <w:color w:val="FF0000"/>
          <w:sz w:val="28"/>
          <w:szCs w:val="28"/>
        </w:rPr>
      </w:pPr>
      <w:r>
        <w:rPr>
          <w:b/>
          <w:i/>
          <w:sz w:val="28"/>
          <w:szCs w:val="28"/>
        </w:rPr>
        <w:t>8</w:t>
      </w:r>
      <w:r w:rsidRPr="001F59E5">
        <w:rPr>
          <w:b/>
          <w:i/>
          <w:sz w:val="28"/>
          <w:szCs w:val="28"/>
          <w:lang w:val="vi-VN"/>
        </w:rPr>
        <w:t>. Nghị quyết hỗ trợ mức đóng bảo hiểm y tế cho người nhiễm HIV chưa có thẻ bảo hiểm y tế trên địa bàn tỉnh Hà Tĩnh</w:t>
      </w:r>
    </w:p>
    <w:p w:rsidR="0083400A" w:rsidRPr="0083400A" w:rsidRDefault="0083400A" w:rsidP="0050742E">
      <w:pPr>
        <w:spacing w:before="60" w:after="60"/>
        <w:ind w:firstLine="720"/>
        <w:jc w:val="both"/>
        <w:rPr>
          <w:spacing w:val="-2"/>
          <w:sz w:val="28"/>
          <w:szCs w:val="28"/>
        </w:rPr>
      </w:pPr>
      <w:r w:rsidRPr="0083400A">
        <w:rPr>
          <w:spacing w:val="-2"/>
          <w:sz w:val="28"/>
          <w:szCs w:val="28"/>
        </w:rPr>
        <w:t xml:space="preserve">Để </w:t>
      </w:r>
      <w:r w:rsidR="006E46D7">
        <w:rPr>
          <w:spacing w:val="-2"/>
          <w:sz w:val="28"/>
          <w:szCs w:val="28"/>
        </w:rPr>
        <w:t>đ</w:t>
      </w:r>
      <w:r w:rsidRPr="0083400A">
        <w:rPr>
          <w:spacing w:val="-2"/>
          <w:sz w:val="28"/>
          <w:szCs w:val="28"/>
        </w:rPr>
        <w:t xml:space="preserve">ảm bảo 100% người nhiễm HIV/AIDS chưa có thẻ bảo hiểm y tế trên địa bàn toàn tỉnh được hỗ trợ kinh phí mua thẻ BHYT; đồng thời đảm bảo 100% người nhiễm HIV/AIDS có thẻ BHYT trên địa bàn tỉnh được hỗ trợ một phần kinh phí phần cùng chi trả thuốc kháng HIV (ARV) </w:t>
      </w:r>
      <w:r>
        <w:rPr>
          <w:spacing w:val="-2"/>
          <w:sz w:val="28"/>
          <w:szCs w:val="28"/>
        </w:rPr>
        <w:t xml:space="preserve">tại kỳ họp cuối năm 2019 UBND tỉnh dự kiến trình HĐND tỉnh thông qua </w:t>
      </w:r>
      <w:r w:rsidRPr="0083400A">
        <w:rPr>
          <w:spacing w:val="-2"/>
          <w:sz w:val="28"/>
          <w:szCs w:val="28"/>
        </w:rPr>
        <w:t xml:space="preserve">Nghị quyết </w:t>
      </w:r>
      <w:r w:rsidR="006E46D7">
        <w:rPr>
          <w:spacing w:val="-2"/>
          <w:sz w:val="28"/>
          <w:szCs w:val="28"/>
        </w:rPr>
        <w:t>q</w:t>
      </w:r>
      <w:r w:rsidR="006E46D7" w:rsidRPr="006E46D7">
        <w:rPr>
          <w:spacing w:val="-2"/>
          <w:sz w:val="28"/>
          <w:szCs w:val="28"/>
        </w:rPr>
        <w:t>uy định hỗ trợ mức đóng bảo hiểm y tế cho người nhiễm HIV/AIDS chưa có thẻ bảo hiểm y tế và hỗ trợ chi phí cùng chi trả thuốc kháng vi rút HIV (ARV) cho người nhiễm HIV/AIDS giai đoạn 2020-2025 và những năm tiếp theo tại tỉnh Hà Tĩnh</w:t>
      </w:r>
      <w:r w:rsidR="006E46D7">
        <w:rPr>
          <w:spacing w:val="-2"/>
          <w:sz w:val="28"/>
          <w:szCs w:val="28"/>
        </w:rPr>
        <w:t>,</w:t>
      </w:r>
      <w:r w:rsidRPr="0083400A">
        <w:rPr>
          <w:spacing w:val="-2"/>
          <w:sz w:val="28"/>
          <w:szCs w:val="28"/>
        </w:rPr>
        <w:t xml:space="preserve"> với định mức hỗ trợ đóng thẻ BHYT và định mức hỗ trợ chi phí cùng chi trả thuốc ARV cụ thể như sau:</w:t>
      </w:r>
    </w:p>
    <w:p w:rsidR="0083400A" w:rsidRPr="0083400A" w:rsidRDefault="0083400A" w:rsidP="0050742E">
      <w:pPr>
        <w:spacing w:before="60" w:after="60"/>
        <w:ind w:firstLine="720"/>
        <w:jc w:val="both"/>
        <w:rPr>
          <w:spacing w:val="-2"/>
          <w:sz w:val="28"/>
          <w:szCs w:val="28"/>
        </w:rPr>
      </w:pPr>
      <w:r w:rsidRPr="0083400A">
        <w:rPr>
          <w:spacing w:val="-2"/>
          <w:sz w:val="28"/>
          <w:szCs w:val="28"/>
        </w:rPr>
        <w:t>- Định mức hỗ trợ đóng thẻ BHYT cho người nhiễm HIV/AIDS: 100%.</w:t>
      </w:r>
    </w:p>
    <w:p w:rsidR="0083400A" w:rsidRPr="0083400A" w:rsidRDefault="0083400A" w:rsidP="0050742E">
      <w:pPr>
        <w:spacing w:before="60" w:after="60"/>
        <w:ind w:firstLine="720"/>
        <w:jc w:val="both"/>
        <w:rPr>
          <w:spacing w:val="-2"/>
          <w:sz w:val="28"/>
          <w:szCs w:val="28"/>
        </w:rPr>
      </w:pPr>
      <w:r w:rsidRPr="0083400A">
        <w:rPr>
          <w:spacing w:val="-2"/>
          <w:sz w:val="28"/>
          <w:szCs w:val="28"/>
        </w:rPr>
        <w:t>- Định mức hỗ trợ chi phí cùng chi trả thuốc ARV: Không quá 50% chi phí cá nhân phải trả.</w:t>
      </w:r>
    </w:p>
    <w:p w:rsidR="001F59E5" w:rsidRPr="00382818" w:rsidRDefault="006E46D7" w:rsidP="0050742E">
      <w:pPr>
        <w:spacing w:before="60" w:after="60"/>
        <w:ind w:firstLine="720"/>
        <w:jc w:val="both"/>
        <w:rPr>
          <w:b/>
          <w:i/>
          <w:sz w:val="28"/>
          <w:szCs w:val="28"/>
        </w:rPr>
      </w:pPr>
      <w:r w:rsidRPr="00382818">
        <w:rPr>
          <w:b/>
          <w:i/>
          <w:sz w:val="28"/>
          <w:szCs w:val="28"/>
        </w:rPr>
        <w:t>9</w:t>
      </w:r>
      <w:r w:rsidR="001F59E5" w:rsidRPr="00382818">
        <w:rPr>
          <w:b/>
          <w:i/>
          <w:sz w:val="28"/>
          <w:szCs w:val="28"/>
          <w:lang w:val="vi-VN"/>
        </w:rPr>
        <w:t>. Nghị quyết thông qua chính sách hỗ trợ trang bị cơ sở vật chất cho các nhóm trẻ độc tập tư thục thực hiện Đề án 404 về “Hỗ trợ phát triển nhóm trẻ độc lập tư thục ở khu vực công nghiệp, khu vực chế x</w:t>
      </w:r>
      <w:r w:rsidR="00382818">
        <w:rPr>
          <w:b/>
          <w:i/>
          <w:sz w:val="28"/>
          <w:szCs w:val="28"/>
          <w:lang w:val="vi-VN"/>
        </w:rPr>
        <w:t>uất đến năm 2020” của Chính phủ.</w:t>
      </w:r>
    </w:p>
    <w:p w:rsidR="00382818" w:rsidRPr="00382818" w:rsidRDefault="00382818" w:rsidP="0050742E">
      <w:pPr>
        <w:spacing w:before="60" w:after="60"/>
        <w:ind w:firstLine="720"/>
        <w:jc w:val="both"/>
        <w:rPr>
          <w:spacing w:val="-2"/>
          <w:sz w:val="28"/>
          <w:szCs w:val="28"/>
        </w:rPr>
      </w:pPr>
      <w:r w:rsidRPr="00382818">
        <w:rPr>
          <w:spacing w:val="-2"/>
          <w:sz w:val="28"/>
          <w:szCs w:val="28"/>
        </w:rPr>
        <w:t>UBND tỉnh sẽ trình HĐND tỉnh thông qua Nghị quyết quy định mức chi hỗ trợ trang bị cơ sở vật chất cho các nhóm trẻ độc lập tư thục tại các khu công nghiệp, khu chế xuất trên đị</w:t>
      </w:r>
      <w:r>
        <w:rPr>
          <w:spacing w:val="-2"/>
          <w:sz w:val="28"/>
          <w:szCs w:val="28"/>
        </w:rPr>
        <w:t>a bàn tỉnh Hà Tĩnh đến năm 2020, với các nội dung chính như sau:</w:t>
      </w:r>
    </w:p>
    <w:p w:rsidR="00382818" w:rsidRDefault="00382818" w:rsidP="0050742E">
      <w:pPr>
        <w:spacing w:before="60" w:after="60"/>
        <w:ind w:firstLine="567"/>
        <w:jc w:val="both"/>
        <w:rPr>
          <w:color w:val="000000"/>
          <w:sz w:val="28"/>
          <w:szCs w:val="28"/>
        </w:rPr>
      </w:pPr>
      <w:r w:rsidRPr="00382818">
        <w:rPr>
          <w:color w:val="000000"/>
          <w:sz w:val="28"/>
          <w:szCs w:val="28"/>
        </w:rPr>
        <w:t>C</w:t>
      </w:r>
      <w:r w:rsidRPr="008B5096">
        <w:rPr>
          <w:color w:val="000000"/>
          <w:sz w:val="28"/>
          <w:szCs w:val="28"/>
        </w:rPr>
        <w:t>ác nhóm trẻ được hỗ trợ phải có đầy đủ các điều kiện sau:</w:t>
      </w:r>
    </w:p>
    <w:p w:rsidR="00382818" w:rsidRPr="008B5096" w:rsidRDefault="00382818" w:rsidP="0050742E">
      <w:pPr>
        <w:pStyle w:val="NormalWeb"/>
        <w:shd w:val="clear" w:color="auto" w:fill="FFFFFF"/>
        <w:tabs>
          <w:tab w:val="left" w:pos="630"/>
        </w:tabs>
        <w:spacing w:before="60" w:beforeAutospacing="0" w:after="60" w:afterAutospacing="0"/>
        <w:ind w:right="23"/>
        <w:jc w:val="both"/>
        <w:textAlignment w:val="baseline"/>
        <w:rPr>
          <w:color w:val="000000"/>
          <w:sz w:val="28"/>
          <w:szCs w:val="28"/>
        </w:rPr>
      </w:pPr>
      <w:r>
        <w:rPr>
          <w:color w:val="000000"/>
          <w:sz w:val="28"/>
          <w:szCs w:val="28"/>
        </w:rPr>
        <w:tab/>
        <w:t>- Có giấy phép hoạt động của cơ quan có thẩm quyền.</w:t>
      </w:r>
    </w:p>
    <w:p w:rsidR="00382818" w:rsidRDefault="00382818" w:rsidP="0050742E">
      <w:pPr>
        <w:pStyle w:val="NormalWeb"/>
        <w:shd w:val="clear" w:color="auto" w:fill="FFFFFF"/>
        <w:tabs>
          <w:tab w:val="left" w:pos="630"/>
        </w:tabs>
        <w:spacing w:before="60" w:beforeAutospacing="0" w:after="60" w:afterAutospacing="0"/>
        <w:ind w:right="23"/>
        <w:jc w:val="both"/>
        <w:textAlignment w:val="baseline"/>
        <w:rPr>
          <w:color w:val="000000"/>
          <w:sz w:val="28"/>
          <w:szCs w:val="28"/>
        </w:rPr>
      </w:pPr>
      <w:r>
        <w:rPr>
          <w:color w:val="000000"/>
          <w:sz w:val="28"/>
          <w:szCs w:val="28"/>
        </w:rPr>
        <w:tab/>
        <w:t>- Có quy mô từ 15 trẻ</w:t>
      </w:r>
      <w:r w:rsidRPr="008B5096">
        <w:rPr>
          <w:color w:val="000000"/>
          <w:sz w:val="28"/>
          <w:szCs w:val="28"/>
        </w:rPr>
        <w:t xml:space="preserve"> và có tỷ lệ trẻ </w:t>
      </w:r>
      <w:r>
        <w:rPr>
          <w:color w:val="000000"/>
          <w:sz w:val="28"/>
          <w:szCs w:val="28"/>
        </w:rPr>
        <w:t>dưới 36 tháng tuổi đạt ít nhất 3</w:t>
      </w:r>
      <w:r w:rsidRPr="008B5096">
        <w:rPr>
          <w:color w:val="000000"/>
          <w:sz w:val="28"/>
          <w:szCs w:val="28"/>
        </w:rPr>
        <w:t>0%.</w:t>
      </w:r>
    </w:p>
    <w:p w:rsidR="00382818" w:rsidRDefault="00382818" w:rsidP="0050742E">
      <w:pPr>
        <w:pStyle w:val="NormalWeb"/>
        <w:shd w:val="clear" w:color="auto" w:fill="FFFFFF"/>
        <w:tabs>
          <w:tab w:val="left" w:pos="630"/>
        </w:tabs>
        <w:spacing w:before="60" w:beforeAutospacing="0" w:after="60" w:afterAutospacing="0"/>
        <w:ind w:right="23"/>
        <w:jc w:val="both"/>
        <w:textAlignment w:val="baseline"/>
        <w:rPr>
          <w:color w:val="000000"/>
          <w:sz w:val="28"/>
          <w:szCs w:val="28"/>
        </w:rPr>
      </w:pPr>
      <w:r>
        <w:rPr>
          <w:color w:val="000000"/>
          <w:sz w:val="28"/>
          <w:szCs w:val="28"/>
        </w:rPr>
        <w:tab/>
        <w:t xml:space="preserve">- </w:t>
      </w:r>
      <w:r w:rsidRPr="008B5096">
        <w:rPr>
          <w:color w:val="000000"/>
          <w:sz w:val="28"/>
          <w:szCs w:val="28"/>
        </w:rPr>
        <w:t>Có bếp ăn riêng, không dùng chung với hộ gia đình. Có đủ diện tích đất để sửa chữa nhà bếp, nhà vệ sinh đảm bảo đạt chuẩn theo quy định.</w:t>
      </w:r>
    </w:p>
    <w:p w:rsidR="00382818" w:rsidRDefault="00382818" w:rsidP="0050742E">
      <w:pPr>
        <w:pStyle w:val="NormalWeb"/>
        <w:shd w:val="clear" w:color="auto" w:fill="FFFFFF"/>
        <w:tabs>
          <w:tab w:val="left" w:pos="630"/>
        </w:tabs>
        <w:spacing w:before="60" w:beforeAutospacing="0" w:after="60" w:afterAutospacing="0"/>
        <w:ind w:right="23"/>
        <w:jc w:val="both"/>
        <w:textAlignment w:val="baseline"/>
        <w:rPr>
          <w:color w:val="000000"/>
          <w:sz w:val="28"/>
          <w:szCs w:val="28"/>
        </w:rPr>
      </w:pPr>
      <w:r>
        <w:rPr>
          <w:color w:val="000000"/>
          <w:sz w:val="28"/>
          <w:szCs w:val="28"/>
        </w:rPr>
        <w:tab/>
        <w:t xml:space="preserve">- </w:t>
      </w:r>
      <w:r w:rsidRPr="008B5096">
        <w:rPr>
          <w:color w:val="000000"/>
          <w:sz w:val="28"/>
          <w:szCs w:val="28"/>
        </w:rPr>
        <w:t xml:space="preserve">Trường hợp hỗ trợ xây dựng, sửa chữa cơ sở vật chất, các nhóm trẻ phải có văn bản pháp lý xác nhận quyền sử dụng đất. Đối với trường hợp thuê nhà thì </w:t>
      </w:r>
      <w:r w:rsidRPr="008B5096">
        <w:rPr>
          <w:color w:val="000000"/>
          <w:sz w:val="28"/>
          <w:szCs w:val="28"/>
        </w:rPr>
        <w:lastRenderedPageBreak/>
        <w:t>hợp đồng thuê nhà có thời hạn từ 5 năm trở lên và được chủ cho thuê nhà cho phép xây dựng, sửa chữa.</w:t>
      </w:r>
    </w:p>
    <w:p w:rsidR="00382818" w:rsidRDefault="00382818" w:rsidP="0050742E">
      <w:pPr>
        <w:pStyle w:val="NormalWeb"/>
        <w:shd w:val="clear" w:color="auto" w:fill="FFFFFF"/>
        <w:tabs>
          <w:tab w:val="left" w:pos="630"/>
        </w:tabs>
        <w:spacing w:before="60" w:beforeAutospacing="0" w:after="60" w:afterAutospacing="0"/>
        <w:ind w:right="23"/>
        <w:jc w:val="both"/>
        <w:textAlignment w:val="baseline"/>
        <w:rPr>
          <w:color w:val="000000"/>
          <w:sz w:val="28"/>
          <w:szCs w:val="28"/>
        </w:rPr>
      </w:pPr>
      <w:r>
        <w:rPr>
          <w:color w:val="000000"/>
          <w:sz w:val="28"/>
          <w:szCs w:val="28"/>
        </w:rPr>
        <w:tab/>
        <w:t xml:space="preserve">- </w:t>
      </w:r>
      <w:r w:rsidRPr="008B5096">
        <w:rPr>
          <w:color w:val="000000"/>
          <w:sz w:val="28"/>
          <w:szCs w:val="28"/>
        </w:rPr>
        <w:t>Có cam kết đảm bảo hoạt động liên tục ít nhất 05 năm sau khi được hỗ trợ. Nếu hoạt động ít hơn thời gian cam kết phải thực hiện bồi hoàn</w:t>
      </w:r>
      <w:r>
        <w:rPr>
          <w:color w:val="000000"/>
          <w:sz w:val="28"/>
          <w:szCs w:val="28"/>
        </w:rPr>
        <w:t xml:space="preserve"> 100%</w:t>
      </w:r>
      <w:r w:rsidRPr="008B5096">
        <w:rPr>
          <w:color w:val="000000"/>
          <w:sz w:val="28"/>
          <w:szCs w:val="28"/>
        </w:rPr>
        <w:t xml:space="preserve"> kinh phí được hỗ trợ theo quy định.</w:t>
      </w:r>
    </w:p>
    <w:p w:rsidR="00382818" w:rsidRPr="008B5096" w:rsidRDefault="00382818" w:rsidP="0050742E">
      <w:pPr>
        <w:pStyle w:val="NormalWeb"/>
        <w:shd w:val="clear" w:color="auto" w:fill="FFFFFF"/>
        <w:tabs>
          <w:tab w:val="left" w:pos="630"/>
        </w:tabs>
        <w:spacing w:before="60" w:beforeAutospacing="0" w:after="60" w:afterAutospacing="0"/>
        <w:ind w:right="23"/>
        <w:jc w:val="both"/>
        <w:textAlignment w:val="baseline"/>
        <w:rPr>
          <w:color w:val="000000"/>
          <w:sz w:val="28"/>
          <w:szCs w:val="28"/>
        </w:rPr>
      </w:pPr>
      <w:r>
        <w:rPr>
          <w:color w:val="000000"/>
          <w:sz w:val="28"/>
          <w:szCs w:val="28"/>
        </w:rPr>
        <w:tab/>
        <w:t xml:space="preserve">- Chủ cơ sở cam kết tiến hành sữa chữa, đầu tư xây dựng cơ sở vật chất khi nhận được kinh phí hỗ trợ; </w:t>
      </w:r>
      <w:r w:rsidRPr="008B5096">
        <w:rPr>
          <w:color w:val="000000"/>
          <w:sz w:val="28"/>
          <w:szCs w:val="28"/>
        </w:rPr>
        <w:t>Có trách nhiệm giữ gìn và bảo quản tốt những cơ sở vật chấ</w:t>
      </w:r>
      <w:r>
        <w:rPr>
          <w:color w:val="000000"/>
          <w:sz w:val="28"/>
          <w:szCs w:val="28"/>
        </w:rPr>
        <w:t>t đã được hỗ trợ trang bị</w:t>
      </w:r>
      <w:r w:rsidRPr="008B5096">
        <w:rPr>
          <w:color w:val="000000"/>
          <w:sz w:val="28"/>
          <w:szCs w:val="28"/>
        </w:rPr>
        <w:t>.</w:t>
      </w:r>
    </w:p>
    <w:p w:rsidR="00382818" w:rsidRPr="00382818" w:rsidRDefault="00382818" w:rsidP="0050742E">
      <w:pPr>
        <w:pStyle w:val="Bodytext21"/>
        <w:shd w:val="clear" w:color="auto" w:fill="auto"/>
        <w:spacing w:before="60" w:after="60" w:line="240" w:lineRule="auto"/>
        <w:ind w:right="69" w:firstLine="562"/>
        <w:jc w:val="both"/>
        <w:rPr>
          <w:rStyle w:val="Bodytext20"/>
          <w:b/>
          <w:lang w:eastAsia="vi-VN"/>
        </w:rPr>
      </w:pPr>
      <w:r w:rsidRPr="00382818">
        <w:rPr>
          <w:rStyle w:val="Bodytext20"/>
          <w:b/>
          <w:lang w:eastAsia="vi-VN"/>
        </w:rPr>
        <w:t>Nội dung, mức chi hỗ trợ</w:t>
      </w:r>
      <w:r>
        <w:rPr>
          <w:rStyle w:val="Bodytext20"/>
          <w:b/>
          <w:lang w:eastAsia="vi-VN"/>
        </w:rPr>
        <w:t>:</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i/>
          <w:color w:val="000000"/>
          <w:sz w:val="28"/>
          <w:szCs w:val="28"/>
        </w:rPr>
      </w:pPr>
      <w:r w:rsidRPr="00382818">
        <w:rPr>
          <w:i/>
          <w:color w:val="000000"/>
          <w:sz w:val="28"/>
          <w:szCs w:val="28"/>
        </w:rPr>
        <w:t>a. Hỗ trợ kinh phí xây dựng, sữa chữa, trang thiết bị khu vệ sinh</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xml:space="preserve">- Nhóm trẻ có dưới 25 trẻ: Hỗ trợ một lần, mức hỗ trợ là 15 triệu đồng đối với nhóm kiện toàn và 25 triệu đồng đối với nhóm thành lập mới. </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Nhóm trẻ có từ 25 trẻ trở lên: Hỗ trợ một lần, mức hỗ trợ là 20 triệu đồng đối với nhóm kiện toàn và 35 triệu đồng đối với nhóm thành lập mới.</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i/>
          <w:color w:val="000000"/>
          <w:sz w:val="28"/>
          <w:szCs w:val="28"/>
        </w:rPr>
      </w:pPr>
      <w:r w:rsidRPr="00382818">
        <w:rPr>
          <w:i/>
          <w:color w:val="000000"/>
          <w:sz w:val="28"/>
          <w:szCs w:val="28"/>
        </w:rPr>
        <w:t>b. Hỗ trợ kinh phí xây dựng, sửa chữa, trang bị khu vực bếp</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xml:space="preserve">- Nhóm trẻ có dưới 25 trẻ: Hỗ trợ một lần, mức hỗ trợ là 15 triệu đồng đối với nhóm kiện toàn và 25 triệu đồng đối với nhóm thành lập mới. </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Nhóm trẻ có từ 25 trẻ trở lên: Hỗ trợ một lần, mức hỗ trợ là 20 triệu đồng đối với nhóm kiện toàn và 35 triệu đồng đối với nhóm thành lập mới.</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i/>
          <w:color w:val="000000"/>
          <w:sz w:val="28"/>
          <w:szCs w:val="28"/>
        </w:rPr>
      </w:pPr>
      <w:r w:rsidRPr="00382818">
        <w:rPr>
          <w:i/>
          <w:color w:val="000000"/>
          <w:sz w:val="28"/>
          <w:szCs w:val="28"/>
        </w:rPr>
        <w:t>c. Hỗ trợ xây dựng sân chơi, mái che: Hỗ trợ một lần</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xml:space="preserve">- Sân chơi: Hỗ trợ 100.000 đồng/m2. </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Mái che: Hỗ trợ 250.000 đồng/m2.</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i/>
          <w:color w:val="000000"/>
          <w:sz w:val="28"/>
          <w:szCs w:val="28"/>
        </w:rPr>
        <w:t>d. Hỗ trợ kinh phí trang thiết bị dạy học, đồ chơi, phòng học</w:t>
      </w:r>
      <w:r w:rsidRPr="00382818">
        <w:rPr>
          <w:color w:val="000000"/>
          <w:sz w:val="28"/>
          <w:szCs w:val="28"/>
        </w:rPr>
        <w:t xml:space="preserve"> </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xml:space="preserve">- Nhóm trẻ có dưới 25 trẻ: Hỗ trợ một lần, mức hỗ trợ là 16 triệu đồng đối với nhóm kiện toàn và 30 triệu đồng đối với nhóm thành lập mới. </w:t>
      </w:r>
    </w:p>
    <w:p w:rsidR="00382818" w:rsidRPr="00382818" w:rsidRDefault="00382818" w:rsidP="0050742E">
      <w:pPr>
        <w:pStyle w:val="NormalWeb"/>
        <w:shd w:val="clear" w:color="auto" w:fill="FFFFFF"/>
        <w:tabs>
          <w:tab w:val="left" w:pos="630"/>
        </w:tabs>
        <w:spacing w:before="60" w:beforeAutospacing="0" w:after="60" w:afterAutospacing="0"/>
        <w:ind w:right="23" w:firstLine="709"/>
        <w:jc w:val="both"/>
        <w:textAlignment w:val="baseline"/>
        <w:rPr>
          <w:color w:val="000000"/>
          <w:sz w:val="28"/>
          <w:szCs w:val="28"/>
        </w:rPr>
      </w:pPr>
      <w:r w:rsidRPr="00382818">
        <w:rPr>
          <w:color w:val="000000"/>
          <w:sz w:val="28"/>
          <w:szCs w:val="28"/>
        </w:rPr>
        <w:t>- Nhóm trẻ có từ 25 trẻ trở lên: Hỗ trợ một lần, mức hỗ trợ là 25 triệu đồng đối với nhóm kiện toàn và 40 triệu đồng đối với nhóm thành lập mới.</w:t>
      </w:r>
    </w:p>
    <w:p w:rsidR="001F59E5" w:rsidRPr="00F641FA" w:rsidRDefault="006E46D7" w:rsidP="0050742E">
      <w:pPr>
        <w:spacing w:before="60" w:after="60"/>
        <w:ind w:firstLine="720"/>
        <w:jc w:val="both"/>
        <w:rPr>
          <w:b/>
          <w:i/>
          <w:sz w:val="28"/>
          <w:szCs w:val="28"/>
          <w:lang w:val="vi-VN"/>
        </w:rPr>
      </w:pPr>
      <w:r w:rsidRPr="00F641FA">
        <w:rPr>
          <w:b/>
          <w:i/>
          <w:sz w:val="28"/>
          <w:szCs w:val="28"/>
        </w:rPr>
        <w:t>10</w:t>
      </w:r>
      <w:r w:rsidR="001F59E5" w:rsidRPr="00F641FA">
        <w:rPr>
          <w:b/>
          <w:i/>
          <w:sz w:val="28"/>
          <w:szCs w:val="28"/>
          <w:lang w:val="vi-VN"/>
        </w:rPr>
        <w:t>. Nghị quyết quy định tỷ lệ phân bổ định mức và một số nội dung, mức chi thực hiện nhiệm vụ bảo đảm trật tự an toàn giao thông trên địa bàn tỉnh</w:t>
      </w:r>
    </w:p>
    <w:p w:rsidR="00F641FA" w:rsidRDefault="00F641FA" w:rsidP="0050742E">
      <w:pPr>
        <w:shd w:val="clear" w:color="auto" w:fill="FFFFFF"/>
        <w:spacing w:before="60" w:after="60"/>
        <w:ind w:firstLine="720"/>
        <w:jc w:val="both"/>
        <w:textAlignment w:val="baseline"/>
        <w:rPr>
          <w:spacing w:val="-2"/>
          <w:sz w:val="28"/>
          <w:szCs w:val="28"/>
        </w:rPr>
      </w:pPr>
      <w:r w:rsidRPr="00F641FA">
        <w:rPr>
          <w:spacing w:val="-2"/>
          <w:sz w:val="28"/>
          <w:szCs w:val="28"/>
        </w:rPr>
        <w:t xml:space="preserve">UBND tỉnh sẽ trình HĐND </w:t>
      </w:r>
      <w:r w:rsidRPr="00382818">
        <w:rPr>
          <w:spacing w:val="-2"/>
          <w:sz w:val="28"/>
          <w:szCs w:val="28"/>
        </w:rPr>
        <w:t xml:space="preserve">tỉnh thông qua Nghị quyết </w:t>
      </w:r>
      <w:r w:rsidRPr="00F641FA">
        <w:rPr>
          <w:spacing w:val="-2"/>
          <w:sz w:val="28"/>
          <w:szCs w:val="28"/>
        </w:rPr>
        <w:t>quy định tỷ lệ phân bổ định mức kinh phí ngân sách Trung ương bổ sung có mục tiêu cho ngân sách địa phương từ nguồn thu xử phạt vi phạm hành chính trong lĩnh vực an toàn giao thông, nguồn ngân sách địa phương để thực hiện nhiệm vụ bảo đảm TTATGT trên địa bàn và một số nội dung chi, mức chi phục vụ công tác bảo đảm T</w:t>
      </w:r>
      <w:r>
        <w:rPr>
          <w:spacing w:val="-2"/>
          <w:sz w:val="28"/>
          <w:szCs w:val="28"/>
        </w:rPr>
        <w:t>TATGT trên địa bàn tỉnh Hà Tĩnh, với các nội dung chính như sau:</w:t>
      </w:r>
    </w:p>
    <w:p w:rsidR="00F641FA" w:rsidRPr="00F641FA" w:rsidRDefault="00F641FA" w:rsidP="0050742E">
      <w:pPr>
        <w:shd w:val="clear" w:color="auto" w:fill="FFFFFF"/>
        <w:spacing w:before="60" w:after="60"/>
        <w:ind w:firstLine="720"/>
        <w:jc w:val="both"/>
        <w:rPr>
          <w:color w:val="000000"/>
          <w:sz w:val="28"/>
          <w:szCs w:val="28"/>
        </w:rPr>
      </w:pPr>
      <w:r w:rsidRPr="00F641FA">
        <w:rPr>
          <w:i/>
          <w:color w:val="000000"/>
          <w:sz w:val="28"/>
          <w:szCs w:val="28"/>
        </w:rPr>
        <w:t>a.</w:t>
      </w:r>
      <w:r w:rsidRPr="00F641FA">
        <w:rPr>
          <w:i/>
          <w:color w:val="000000"/>
          <w:sz w:val="28"/>
          <w:szCs w:val="28"/>
          <w:lang w:val="vi-VN"/>
        </w:rPr>
        <w:t xml:space="preserve"> Mức phân bổ:</w:t>
      </w:r>
      <w:r w:rsidRPr="00F641FA">
        <w:rPr>
          <w:color w:val="000000"/>
          <w:sz w:val="28"/>
          <w:szCs w:val="28"/>
          <w:lang w:val="vi-VN"/>
        </w:rPr>
        <w:t> </w:t>
      </w:r>
      <w:r w:rsidRPr="00F641FA">
        <w:rPr>
          <w:color w:val="000000"/>
          <w:sz w:val="28"/>
          <w:szCs w:val="28"/>
        </w:rPr>
        <w:t>K</w:t>
      </w:r>
      <w:r w:rsidRPr="00F641FA">
        <w:rPr>
          <w:color w:val="000000"/>
          <w:sz w:val="28"/>
          <w:szCs w:val="28"/>
          <w:lang w:val="vi-VN"/>
        </w:rPr>
        <w:t>inh phí ngân sách Trung ương bổ sung có mục tiêu cho địa phương từ nguồn xử phạt hành chính trong lĩnh vực an toàn giao thông</w:t>
      </w:r>
      <w:r w:rsidRPr="00F641FA">
        <w:rPr>
          <w:color w:val="000000"/>
          <w:sz w:val="28"/>
          <w:szCs w:val="28"/>
        </w:rPr>
        <w:t xml:space="preserve"> và nguồn ngân sách địa phương để thực hiện nhiệm vụ bảo đảm TTATGT trên địa bàn</w:t>
      </w:r>
      <w:r w:rsidRPr="00F641FA">
        <w:rPr>
          <w:color w:val="000000"/>
          <w:sz w:val="28"/>
          <w:szCs w:val="28"/>
          <w:lang w:val="vi-VN"/>
        </w:rPr>
        <w:t xml:space="preserve"> được phân bổ như sau:</w:t>
      </w:r>
    </w:p>
    <w:p w:rsidR="00F641FA" w:rsidRPr="00F641FA" w:rsidRDefault="00F641FA" w:rsidP="0050742E">
      <w:pPr>
        <w:shd w:val="clear" w:color="auto" w:fill="FFFFFF"/>
        <w:spacing w:before="60" w:after="60"/>
        <w:ind w:firstLine="720"/>
        <w:jc w:val="both"/>
        <w:rPr>
          <w:color w:val="000000"/>
          <w:sz w:val="28"/>
          <w:szCs w:val="28"/>
        </w:rPr>
      </w:pPr>
      <w:r w:rsidRPr="00F641FA">
        <w:rPr>
          <w:color w:val="000000"/>
          <w:sz w:val="28"/>
          <w:szCs w:val="28"/>
        </w:rPr>
        <w:t xml:space="preserve">- </w:t>
      </w:r>
      <w:r w:rsidRPr="00F641FA">
        <w:rPr>
          <w:color w:val="000000"/>
          <w:sz w:val="28"/>
          <w:szCs w:val="28"/>
          <w:lang w:val="vi-VN"/>
        </w:rPr>
        <w:t>70% cho lực lượng công an</w:t>
      </w:r>
      <w:r w:rsidRPr="00F641FA">
        <w:rPr>
          <w:color w:val="000000"/>
          <w:sz w:val="28"/>
          <w:szCs w:val="28"/>
        </w:rPr>
        <w:t xml:space="preserve"> tỉnh.</w:t>
      </w:r>
    </w:p>
    <w:p w:rsidR="00F641FA" w:rsidRPr="00F641FA" w:rsidRDefault="00F641FA" w:rsidP="0050742E">
      <w:pPr>
        <w:shd w:val="clear" w:color="auto" w:fill="FFFFFF"/>
        <w:spacing w:before="60" w:after="60"/>
        <w:ind w:firstLine="720"/>
        <w:jc w:val="both"/>
        <w:rPr>
          <w:color w:val="000000"/>
          <w:sz w:val="28"/>
          <w:szCs w:val="28"/>
        </w:rPr>
      </w:pPr>
      <w:r w:rsidRPr="00F641FA">
        <w:rPr>
          <w:color w:val="000000"/>
          <w:sz w:val="28"/>
          <w:szCs w:val="28"/>
        </w:rPr>
        <w:lastRenderedPageBreak/>
        <w:t>- 30% cho các lực lượng khác (bao gồm Thanh tra Sở giao thông; Ban An toàn giao thông tỉnh; Các huyện, thành phố, thị xã và các cơ quan, đơn vị có liên quan đến sử dụng kinh phí đảm bảo TTATGT trên địa bàn tỉnh Hà Tĩnh).</w:t>
      </w:r>
    </w:p>
    <w:p w:rsidR="00F641FA" w:rsidRPr="00F641FA" w:rsidRDefault="00F641FA" w:rsidP="0050742E">
      <w:pPr>
        <w:shd w:val="clear" w:color="auto" w:fill="FFFFFF"/>
        <w:spacing w:before="60" w:after="60"/>
        <w:ind w:firstLine="720"/>
        <w:jc w:val="both"/>
        <w:rPr>
          <w:i/>
          <w:color w:val="000000"/>
          <w:sz w:val="28"/>
          <w:szCs w:val="28"/>
        </w:rPr>
      </w:pPr>
      <w:r w:rsidRPr="00F641FA">
        <w:rPr>
          <w:i/>
          <w:color w:val="000000"/>
          <w:sz w:val="28"/>
          <w:szCs w:val="28"/>
        </w:rPr>
        <w:t>b.</w:t>
      </w:r>
      <w:r w:rsidRPr="00F641FA">
        <w:rPr>
          <w:i/>
          <w:color w:val="000000"/>
          <w:sz w:val="28"/>
          <w:szCs w:val="28"/>
          <w:lang w:val="vi-VN"/>
        </w:rPr>
        <w:t xml:space="preserve"> Nội dung chi, mức chi</w:t>
      </w:r>
      <w:r w:rsidRPr="00F641FA">
        <w:rPr>
          <w:i/>
          <w:color w:val="000000"/>
          <w:sz w:val="28"/>
          <w:szCs w:val="28"/>
        </w:rPr>
        <w:t>:</w:t>
      </w:r>
    </w:p>
    <w:p w:rsidR="00F641FA" w:rsidRPr="00F641FA" w:rsidRDefault="00F641FA" w:rsidP="0050742E">
      <w:pPr>
        <w:shd w:val="clear" w:color="auto" w:fill="FFFFFF"/>
        <w:spacing w:before="60" w:after="60"/>
        <w:ind w:firstLine="720"/>
        <w:jc w:val="both"/>
        <w:textAlignment w:val="baseline"/>
        <w:rPr>
          <w:color w:val="000000"/>
          <w:sz w:val="28"/>
          <w:szCs w:val="28"/>
        </w:rPr>
      </w:pPr>
      <w:r w:rsidRPr="00F641FA">
        <w:rPr>
          <w:color w:val="000000"/>
          <w:sz w:val="28"/>
          <w:szCs w:val="22"/>
        </w:rPr>
        <w:t>Các cơ quan, đơn vị thuộc đối tượng áp dụng tại Nghị quyết này thực hiện theo nội dung chi và mức chi bảo đảm TTATGT của địa phương được quy định tại Thông tư </w:t>
      </w:r>
      <w:hyperlink r:id="rId8" w:tgtFrame="_blank" w:history="1">
        <w:r w:rsidRPr="00F641FA">
          <w:rPr>
            <w:sz w:val="28"/>
            <w:szCs w:val="22"/>
          </w:rPr>
          <w:t>01/2018/TT-BTC ngày 02/01/2018 và Thông tư số 28/2019/TT-BTC ngày 21/5/2019 của Bộ Tài chính</w:t>
        </w:r>
      </w:hyperlink>
      <w:r w:rsidRPr="00F641FA">
        <w:rPr>
          <w:rFonts w:eastAsia="Calibri"/>
          <w:sz w:val="28"/>
          <w:szCs w:val="22"/>
        </w:rPr>
        <w:t xml:space="preserve">; ngoài ra, được thực hiện thêm một số nội </w:t>
      </w:r>
      <w:r w:rsidRPr="00F641FA">
        <w:rPr>
          <w:rFonts w:eastAsia="Calibri"/>
          <w:sz w:val="28"/>
          <w:szCs w:val="28"/>
        </w:rPr>
        <w:t>dung chi, mức chi cụ thể như sau:</w:t>
      </w:r>
    </w:p>
    <w:p w:rsidR="00F641FA" w:rsidRPr="00F641FA" w:rsidRDefault="00F641FA" w:rsidP="0050742E">
      <w:pPr>
        <w:numPr>
          <w:ilvl w:val="0"/>
          <w:numId w:val="15"/>
        </w:numPr>
        <w:tabs>
          <w:tab w:val="left" w:pos="900"/>
        </w:tabs>
        <w:spacing w:before="60" w:after="60"/>
        <w:ind w:left="0" w:firstLine="720"/>
        <w:contextualSpacing/>
        <w:jc w:val="both"/>
        <w:rPr>
          <w:color w:val="000000"/>
          <w:sz w:val="28"/>
          <w:szCs w:val="28"/>
        </w:rPr>
      </w:pPr>
      <w:r w:rsidRPr="00F641FA">
        <w:rPr>
          <w:color w:val="000000"/>
          <w:sz w:val="28"/>
          <w:szCs w:val="28"/>
        </w:rPr>
        <w:t>Chi hỗ trợ công tác chỉ đạo, kiểm tra của các thành viên Ban ATGT cấp tỉnh, cấp huyện theo nhiệm vụ được phân công: Lãnh đạo ban mức tối đa không quá 600.000 đồng/người/tháng; đối với các thành viên Ban, cán bộ công chức chuyên trách, biệt phái tại Văn phòng Ban không quá 300.000 đồng/người/tháng.</w:t>
      </w:r>
    </w:p>
    <w:p w:rsidR="00F641FA" w:rsidRPr="00F641FA" w:rsidRDefault="00F641FA" w:rsidP="0050742E">
      <w:pPr>
        <w:numPr>
          <w:ilvl w:val="0"/>
          <w:numId w:val="15"/>
        </w:numPr>
        <w:tabs>
          <w:tab w:val="left" w:pos="900"/>
        </w:tabs>
        <w:spacing w:before="60" w:after="60"/>
        <w:ind w:left="0" w:firstLine="720"/>
        <w:contextualSpacing/>
        <w:jc w:val="both"/>
        <w:rPr>
          <w:color w:val="000000"/>
          <w:sz w:val="28"/>
          <w:szCs w:val="28"/>
        </w:rPr>
      </w:pPr>
      <w:r w:rsidRPr="00F641FA">
        <w:rPr>
          <w:color w:val="000000"/>
          <w:sz w:val="28"/>
          <w:szCs w:val="28"/>
        </w:rPr>
        <w:t>Chi hỗ trợ đoàn liên ngành đi kiểm tra, khắc phục hậu quả các vụ tai nạn giao thông đặc biệt nghiêm trọng, giải tỏa hành lang giao thông: Mức hỗ trợ tối đa không quá 300.000 đồng/người/ngày.</w:t>
      </w:r>
    </w:p>
    <w:p w:rsidR="00F641FA" w:rsidRPr="00F641FA" w:rsidRDefault="00F641FA" w:rsidP="0050742E">
      <w:pPr>
        <w:numPr>
          <w:ilvl w:val="0"/>
          <w:numId w:val="15"/>
        </w:numPr>
        <w:shd w:val="clear" w:color="auto" w:fill="FFFFFF"/>
        <w:tabs>
          <w:tab w:val="left" w:pos="900"/>
        </w:tabs>
        <w:spacing w:before="60" w:after="60"/>
        <w:ind w:left="0" w:firstLine="720"/>
        <w:contextualSpacing/>
        <w:jc w:val="both"/>
        <w:textAlignment w:val="baseline"/>
        <w:rPr>
          <w:color w:val="000000"/>
          <w:spacing w:val="-2"/>
          <w:sz w:val="28"/>
          <w:szCs w:val="22"/>
        </w:rPr>
      </w:pPr>
      <w:r w:rsidRPr="00F641FA">
        <w:rPr>
          <w:color w:val="000000"/>
          <w:spacing w:val="-2"/>
          <w:sz w:val="28"/>
          <w:szCs w:val="28"/>
        </w:rPr>
        <w:t>Chi hỗ trợ các đơn vị lực lượng chức năng phối hợp trong công tác bảo đảm TTATGT và thực hiện các nhiệm khác trong lĩnh vực bảo đảm TTATGT theo quy định (mua sắm, lắp đặt, xây dựng biển báo, gờ gảm tốc, lan can cầu tại các tuyến đường dân sinh, trang thiết bị, văn phòng phẩm, tài liệu phục vụ công tác bảo đảm TTATGT …): mức kinh phí phù hợp với điều kiện thực tế, đảm bảo tiết kiệm, hiệu quả, có hóa đơn, chứng từ hợp pháp trong phạm vi dự toán được giao.</w:t>
      </w:r>
    </w:p>
    <w:p w:rsidR="004A6EA4" w:rsidRDefault="001F59E5" w:rsidP="0050742E">
      <w:pPr>
        <w:spacing w:before="60" w:after="60"/>
        <w:ind w:firstLine="720"/>
        <w:jc w:val="both"/>
        <w:rPr>
          <w:b/>
          <w:i/>
          <w:sz w:val="28"/>
          <w:szCs w:val="28"/>
          <w:lang w:val="vi-VN"/>
        </w:rPr>
      </w:pPr>
      <w:r>
        <w:rPr>
          <w:b/>
          <w:i/>
          <w:sz w:val="28"/>
          <w:szCs w:val="28"/>
        </w:rPr>
        <w:t>1</w:t>
      </w:r>
      <w:r w:rsidR="006E46D7">
        <w:rPr>
          <w:b/>
          <w:i/>
          <w:sz w:val="28"/>
          <w:szCs w:val="28"/>
        </w:rPr>
        <w:t>1</w:t>
      </w:r>
      <w:r w:rsidRPr="001F59E5">
        <w:rPr>
          <w:b/>
          <w:i/>
          <w:sz w:val="28"/>
          <w:szCs w:val="28"/>
          <w:lang w:val="vi-VN"/>
        </w:rPr>
        <w:t>. Nghị quyết về chính sách hỗ trợ đối với công chức, viên chức, người lao động làm việc t</w:t>
      </w:r>
      <w:r>
        <w:rPr>
          <w:b/>
          <w:i/>
          <w:sz w:val="28"/>
          <w:szCs w:val="28"/>
          <w:lang w:val="vi-VN"/>
        </w:rPr>
        <w:t xml:space="preserve">ại Ban Quản lý Khu kinh tế tỉnh </w:t>
      </w:r>
    </w:p>
    <w:p w:rsidR="002D4816" w:rsidRDefault="004A6EA4" w:rsidP="0050742E">
      <w:pPr>
        <w:spacing w:before="60" w:after="60"/>
        <w:ind w:firstLine="720"/>
        <w:jc w:val="both"/>
        <w:rPr>
          <w:spacing w:val="-2"/>
          <w:sz w:val="28"/>
          <w:szCs w:val="28"/>
        </w:rPr>
      </w:pPr>
      <w:r w:rsidRPr="004A6EA4">
        <w:rPr>
          <w:spacing w:val="-2"/>
          <w:sz w:val="28"/>
          <w:szCs w:val="28"/>
        </w:rPr>
        <w:t>Để góp phần hỗ trợ đời sống vật chất và tinh thần đối với công chức làm việc tại Ban Quản lý Khu kinh tế tỉnh; tạo điều kiện cho công chức ổn định thu nhập, yên tâm công tác và thu hút, khuyến khích người lao động đến làm việc tại Ban Quản lý khu kinh tế tỉnh UBND tỉnh dự kiến trình HĐND tỉnh Nghị quyết về chính sách hỗ trợ đối với công chức, viên chức, người lao động làm việc t</w:t>
      </w:r>
      <w:r>
        <w:rPr>
          <w:spacing w:val="-2"/>
          <w:sz w:val="28"/>
          <w:szCs w:val="28"/>
        </w:rPr>
        <w:t>ại Ban Quản lý Khu kinh tế tỉnh, với</w:t>
      </w:r>
      <w:r w:rsidR="002D4816">
        <w:rPr>
          <w:spacing w:val="-2"/>
          <w:sz w:val="28"/>
          <w:szCs w:val="28"/>
        </w:rPr>
        <w:t xml:space="preserve"> nội dung chính như sau:</w:t>
      </w:r>
    </w:p>
    <w:p w:rsidR="002D4816" w:rsidRDefault="002033A5" w:rsidP="0050742E">
      <w:pPr>
        <w:spacing w:before="60" w:after="60"/>
        <w:ind w:firstLine="720"/>
        <w:jc w:val="both"/>
        <w:rPr>
          <w:spacing w:val="-2"/>
          <w:sz w:val="28"/>
          <w:szCs w:val="28"/>
        </w:rPr>
      </w:pPr>
      <w:r>
        <w:rPr>
          <w:spacing w:val="-2"/>
          <w:sz w:val="28"/>
          <w:szCs w:val="28"/>
        </w:rPr>
        <w:t xml:space="preserve">- </w:t>
      </w:r>
      <w:r w:rsidR="002D4816">
        <w:rPr>
          <w:spacing w:val="-2"/>
          <w:sz w:val="28"/>
          <w:szCs w:val="28"/>
        </w:rPr>
        <w:t>M</w:t>
      </w:r>
      <w:r w:rsidR="004A6EA4" w:rsidRPr="004A6EA4">
        <w:rPr>
          <w:spacing w:val="-2"/>
          <w:sz w:val="28"/>
          <w:szCs w:val="28"/>
        </w:rPr>
        <w:t xml:space="preserve">ức hỗ trợ bằng 50% tiền lương hiện hưởng, bao gồm: </w:t>
      </w:r>
      <w:r w:rsidR="002D4816">
        <w:rPr>
          <w:spacing w:val="-2"/>
          <w:sz w:val="28"/>
          <w:szCs w:val="28"/>
        </w:rPr>
        <w:t>M</w:t>
      </w:r>
      <w:r w:rsidR="004A6EA4" w:rsidRPr="004A6EA4">
        <w:rPr>
          <w:spacing w:val="-2"/>
          <w:sz w:val="28"/>
          <w:szCs w:val="28"/>
        </w:rPr>
        <w:t>ức lương chức vụ, ngạch, bậc và phụ cấp chức vụ lãnh đạo, phụ cấp thâm niên vượt khung, nếu có</w:t>
      </w:r>
      <w:r w:rsidR="004A6EA4">
        <w:rPr>
          <w:spacing w:val="-2"/>
          <w:sz w:val="28"/>
          <w:szCs w:val="28"/>
        </w:rPr>
        <w:t xml:space="preserve"> </w:t>
      </w:r>
    </w:p>
    <w:p w:rsidR="004A6EA4" w:rsidRPr="004A6EA4" w:rsidRDefault="002033A5" w:rsidP="0050742E">
      <w:pPr>
        <w:spacing w:before="60" w:after="60"/>
        <w:ind w:firstLine="720"/>
        <w:jc w:val="both"/>
        <w:rPr>
          <w:spacing w:val="-2"/>
          <w:sz w:val="28"/>
          <w:szCs w:val="28"/>
        </w:rPr>
      </w:pPr>
      <w:r>
        <w:rPr>
          <w:spacing w:val="-2"/>
          <w:sz w:val="28"/>
          <w:szCs w:val="28"/>
        </w:rPr>
        <w:t xml:space="preserve">- </w:t>
      </w:r>
      <w:r w:rsidR="002D4816">
        <w:rPr>
          <w:spacing w:val="-2"/>
          <w:sz w:val="28"/>
          <w:szCs w:val="28"/>
        </w:rPr>
        <w:t>T</w:t>
      </w:r>
      <w:r w:rsidR="004A6EA4" w:rsidRPr="00433E44">
        <w:rPr>
          <w:spacing w:val="-2"/>
          <w:sz w:val="28"/>
          <w:szCs w:val="28"/>
        </w:rPr>
        <w:t>hời gian áp dụng là 05 năm tính từ ngày Nghị quyết có hiệu lực thi hành.</w:t>
      </w:r>
    </w:p>
    <w:p w:rsidR="00DC20EB" w:rsidRPr="0007377B" w:rsidRDefault="001F59E5" w:rsidP="0050742E">
      <w:pPr>
        <w:spacing w:before="60" w:after="60"/>
        <w:ind w:firstLine="720"/>
        <w:jc w:val="both"/>
        <w:rPr>
          <w:b/>
          <w:i/>
          <w:sz w:val="28"/>
          <w:szCs w:val="28"/>
          <w:lang w:val="vi-VN"/>
        </w:rPr>
      </w:pPr>
      <w:r w:rsidRPr="0007377B">
        <w:rPr>
          <w:b/>
          <w:i/>
          <w:sz w:val="28"/>
          <w:szCs w:val="28"/>
          <w:lang w:val="vi-VN"/>
        </w:rPr>
        <w:t>1</w:t>
      </w:r>
      <w:r w:rsidR="006E46D7" w:rsidRPr="0007377B">
        <w:rPr>
          <w:b/>
          <w:i/>
          <w:sz w:val="28"/>
          <w:szCs w:val="28"/>
          <w:lang w:val="vi-VN"/>
        </w:rPr>
        <w:t>2</w:t>
      </w:r>
      <w:r w:rsidRPr="0007377B">
        <w:rPr>
          <w:b/>
          <w:i/>
          <w:sz w:val="28"/>
          <w:szCs w:val="28"/>
          <w:lang w:val="vi-VN"/>
        </w:rPr>
        <w:t xml:space="preserve">. Nghị quyết quy định </w:t>
      </w:r>
      <w:r w:rsidR="00DC20EB" w:rsidRPr="0007377B">
        <w:rPr>
          <w:b/>
          <w:i/>
          <w:sz w:val="28"/>
          <w:szCs w:val="28"/>
          <w:lang w:val="vi-VN"/>
        </w:rPr>
        <w:t xml:space="preserve">mức giá dịch vụ khám bệnh, chữa bệnh không thuộc phạm vi thanh toán của Quỹ bảo hiểm y tế trong các cơ sở khám bệnh, chữa bệnh của Nhà nước trên địa bàn tỉnh </w:t>
      </w:r>
    </w:p>
    <w:p w:rsidR="0007377B" w:rsidRDefault="0007377B" w:rsidP="0050742E">
      <w:pPr>
        <w:spacing w:before="60" w:after="60"/>
        <w:ind w:firstLine="720"/>
        <w:jc w:val="both"/>
        <w:rPr>
          <w:spacing w:val="-2"/>
          <w:sz w:val="28"/>
          <w:szCs w:val="28"/>
        </w:rPr>
      </w:pPr>
      <w:bookmarkStart w:id="17" w:name="dieu_1"/>
      <w:r w:rsidRPr="0007377B">
        <w:rPr>
          <w:spacing w:val="-2"/>
          <w:sz w:val="28"/>
          <w:szCs w:val="28"/>
        </w:rPr>
        <w:t>Để đảm bảo sự bình đẳng, công bằng trong khám bệnh, chữa bệnh giữa đối tượng có BHYT cũng như không có BHYT và đảm bảo nguồn thu thực hiện lộ trình tự chủ chi thường xuyên tại các cơ sở khám bệnh, chữa bệnh của Nhà nước</w:t>
      </w:r>
      <w:r w:rsidR="00904ADB">
        <w:rPr>
          <w:spacing w:val="-2"/>
          <w:sz w:val="28"/>
          <w:szCs w:val="28"/>
        </w:rPr>
        <w:t>;</w:t>
      </w:r>
      <w:r>
        <w:rPr>
          <w:spacing w:val="-2"/>
          <w:sz w:val="28"/>
          <w:szCs w:val="28"/>
        </w:rPr>
        <w:t xml:space="preserve"> </w:t>
      </w:r>
      <w:r w:rsidRPr="00F641FA">
        <w:rPr>
          <w:spacing w:val="-2"/>
          <w:sz w:val="28"/>
          <w:szCs w:val="28"/>
        </w:rPr>
        <w:t xml:space="preserve">UBND tỉnh sẽ trình HĐND </w:t>
      </w:r>
      <w:r w:rsidRPr="00382818">
        <w:rPr>
          <w:spacing w:val="-2"/>
          <w:sz w:val="28"/>
          <w:szCs w:val="28"/>
        </w:rPr>
        <w:t xml:space="preserve">tỉnh thông qua Nghị quyết </w:t>
      </w:r>
      <w:r w:rsidRPr="0007377B">
        <w:rPr>
          <w:spacing w:val="-2"/>
          <w:sz w:val="28"/>
          <w:szCs w:val="28"/>
        </w:rPr>
        <w:t>quy định mức giá dịch vụ khám bệnh, chữa bệnh không thuộc phạm vi thanh toán của Quỹ bảo hiểm y tế trong các cơ sở khám bệnh, chữa bệnh của Nhà nước trên địa bàn tỉnh</w:t>
      </w:r>
      <w:r>
        <w:rPr>
          <w:spacing w:val="-2"/>
          <w:sz w:val="28"/>
          <w:szCs w:val="28"/>
        </w:rPr>
        <w:t>, với các nội dung chính như sau:</w:t>
      </w:r>
    </w:p>
    <w:p w:rsidR="00A51034" w:rsidRPr="00DC4B95" w:rsidRDefault="00A51034" w:rsidP="0050742E">
      <w:pPr>
        <w:spacing w:before="60" w:after="60"/>
        <w:ind w:firstLine="720"/>
        <w:jc w:val="both"/>
        <w:rPr>
          <w:i/>
          <w:color w:val="000000"/>
          <w:sz w:val="28"/>
          <w:szCs w:val="28"/>
          <w:lang w:val="sq-AL"/>
        </w:rPr>
      </w:pPr>
      <w:r w:rsidRPr="00DC4B95">
        <w:rPr>
          <w:i/>
          <w:color w:val="000000"/>
          <w:sz w:val="28"/>
          <w:szCs w:val="28"/>
          <w:lang w:val="sq-AL"/>
        </w:rPr>
        <w:lastRenderedPageBreak/>
        <w:t xml:space="preserve">Tác động của việc điều chỉnh tăng mức giá khám bệnh, chữa bệnh: </w:t>
      </w:r>
    </w:p>
    <w:p w:rsidR="00A51034" w:rsidRPr="00A51034" w:rsidRDefault="00A51034" w:rsidP="0050742E">
      <w:pPr>
        <w:spacing w:before="60" w:after="60"/>
        <w:ind w:firstLine="720"/>
        <w:jc w:val="both"/>
        <w:rPr>
          <w:color w:val="000000"/>
          <w:spacing w:val="-2"/>
          <w:sz w:val="28"/>
          <w:szCs w:val="28"/>
          <w:lang w:val="sq-AL"/>
        </w:rPr>
      </w:pPr>
      <w:r w:rsidRPr="00A51034">
        <w:rPr>
          <w:color w:val="000000"/>
          <w:sz w:val="28"/>
          <w:szCs w:val="28"/>
          <w:lang w:val="sq-AL"/>
        </w:rPr>
        <w:t xml:space="preserve">- </w:t>
      </w:r>
      <w:r w:rsidRPr="00A51034">
        <w:rPr>
          <w:color w:val="000000"/>
          <w:spacing w:val="-2"/>
          <w:sz w:val="28"/>
          <w:szCs w:val="28"/>
          <w:lang w:val="sq-AL"/>
        </w:rPr>
        <w:t>Mức đề xuất giá tăng bình quân 3,65% so với mức giá đang thực hiện (Phê duyệt tại Nghị quyết số 58/2017/NQ-HĐND ngày 15/7/2017 của HĐND tỉnh).</w:t>
      </w:r>
    </w:p>
    <w:p w:rsidR="00A51034" w:rsidRPr="00A51034" w:rsidRDefault="00A51034" w:rsidP="0050742E">
      <w:pPr>
        <w:spacing w:before="60" w:after="60"/>
        <w:ind w:firstLine="720"/>
        <w:jc w:val="both"/>
        <w:rPr>
          <w:color w:val="000000"/>
          <w:sz w:val="28"/>
          <w:szCs w:val="28"/>
          <w:lang w:val="sq-AL"/>
        </w:rPr>
      </w:pPr>
      <w:r w:rsidRPr="00A51034">
        <w:rPr>
          <w:color w:val="000000"/>
          <w:sz w:val="28"/>
          <w:szCs w:val="28"/>
          <w:lang w:val="sq-AL"/>
        </w:rPr>
        <w:t>- Tỷ lệ bao phủ BHYT toàn tỉnh tính đến nay là 87% dân số (</w:t>
      </w:r>
      <w:r w:rsidRPr="00A51034">
        <w:rPr>
          <w:color w:val="000000"/>
          <w:sz w:val="28"/>
          <w:szCs w:val="28"/>
          <w:lang w:val="vi-VN"/>
        </w:rPr>
        <w:t>nhiều địa phương đã đạt</w:t>
      </w:r>
      <w:r w:rsidRPr="00A51034">
        <w:rPr>
          <w:color w:val="000000"/>
          <w:sz w:val="28"/>
          <w:szCs w:val="28"/>
          <w:lang w:val="sq-AL"/>
        </w:rPr>
        <w:t xml:space="preserve"> trên</w:t>
      </w:r>
      <w:r w:rsidRPr="00A51034">
        <w:rPr>
          <w:color w:val="000000"/>
          <w:sz w:val="28"/>
          <w:szCs w:val="28"/>
          <w:lang w:val="vi-VN"/>
        </w:rPr>
        <w:t xml:space="preserve"> </w:t>
      </w:r>
      <w:r w:rsidRPr="00A51034">
        <w:rPr>
          <w:color w:val="000000"/>
          <w:sz w:val="28"/>
          <w:szCs w:val="28"/>
          <w:lang w:val="sq-AL"/>
        </w:rPr>
        <w:t>9</w:t>
      </w:r>
      <w:r w:rsidRPr="00A51034">
        <w:rPr>
          <w:color w:val="000000"/>
          <w:sz w:val="28"/>
          <w:szCs w:val="28"/>
          <w:lang w:val="vi-VN"/>
        </w:rPr>
        <w:t>0%</w:t>
      </w:r>
      <w:r w:rsidRPr="00A51034">
        <w:rPr>
          <w:color w:val="000000"/>
          <w:sz w:val="28"/>
          <w:szCs w:val="28"/>
          <w:lang w:val="sq-AL"/>
        </w:rPr>
        <w:t xml:space="preserve">), trong đó đối tượng người nghèo, người cận nghèo, người cao tuổi và người thuộc hộ gia đình làm nông, lâm, ngư, diêm nghiệp có mức sống trung bình đã được Nhà nước hỗ trợ mua BHYT. Phần còn lại (13% dân số) là những đối tượng thuộc nhóm tham gia BHYT tự nguyện có mức thu nhập trung bình trở lên. Vì vậy việc điều chỉnh giá dịch vụ khám bệnh, chữa bệnh không thuộc phạm vi thanh toán của quỹ bảo hiểm y tế như đề xuất </w:t>
      </w:r>
      <w:r w:rsidRPr="00A51034">
        <w:rPr>
          <w:color w:val="000000"/>
          <w:sz w:val="28"/>
          <w:szCs w:val="28"/>
          <w:lang w:val="vi-VN"/>
        </w:rPr>
        <w:t>tác động không nhiều đến người dân và chỉ số giá tiêu dùng</w:t>
      </w:r>
      <w:r w:rsidRPr="00A51034">
        <w:rPr>
          <w:color w:val="000000"/>
          <w:sz w:val="28"/>
          <w:szCs w:val="28"/>
          <w:lang w:val="sq-AL"/>
        </w:rPr>
        <w:t>.</w:t>
      </w:r>
    </w:p>
    <w:p w:rsidR="00A51034" w:rsidRPr="00A51034" w:rsidRDefault="00A51034" w:rsidP="0050742E">
      <w:pPr>
        <w:spacing w:before="60" w:after="60"/>
        <w:ind w:firstLine="720"/>
        <w:jc w:val="both"/>
        <w:rPr>
          <w:color w:val="000000"/>
          <w:sz w:val="28"/>
          <w:szCs w:val="28"/>
          <w:lang w:val="sq-AL"/>
        </w:rPr>
      </w:pPr>
      <w:r w:rsidRPr="00A51034">
        <w:rPr>
          <w:color w:val="000000"/>
          <w:sz w:val="28"/>
          <w:szCs w:val="28"/>
          <w:lang w:val="sq-AL"/>
        </w:rPr>
        <w:t>- Việc xây dựng giá dịch vụ như đề xuất sẽ khuyến khích người dân mua thẻ BHYT, góp phần tăng độ bao phủ BHYT toàn dân như lộ trình đề ra.</w:t>
      </w:r>
    </w:p>
    <w:p w:rsidR="00A51034" w:rsidRPr="00A51034" w:rsidRDefault="00A51034" w:rsidP="0050742E">
      <w:pPr>
        <w:spacing w:before="60" w:after="60"/>
        <w:ind w:firstLine="720"/>
        <w:jc w:val="both"/>
        <w:rPr>
          <w:i/>
          <w:sz w:val="28"/>
          <w:szCs w:val="28"/>
        </w:rPr>
      </w:pPr>
      <w:r w:rsidRPr="00A51034">
        <w:rPr>
          <w:bCs/>
          <w:i/>
          <w:sz w:val="28"/>
          <w:szCs w:val="28"/>
          <w:lang w:val="vi-VN"/>
        </w:rPr>
        <w:t>Phạm vi điều chỉnh và đối tượng áp dụng</w:t>
      </w:r>
    </w:p>
    <w:p w:rsidR="00A51034" w:rsidRPr="00A51034" w:rsidRDefault="00DC4B95" w:rsidP="0050742E">
      <w:pPr>
        <w:spacing w:before="60" w:after="60"/>
        <w:ind w:firstLine="720"/>
        <w:jc w:val="both"/>
        <w:rPr>
          <w:sz w:val="28"/>
          <w:szCs w:val="28"/>
        </w:rPr>
      </w:pPr>
      <w:r>
        <w:rPr>
          <w:sz w:val="28"/>
          <w:szCs w:val="28"/>
        </w:rPr>
        <w:t>-</w:t>
      </w:r>
      <w:r w:rsidR="00A51034" w:rsidRPr="00A51034">
        <w:rPr>
          <w:sz w:val="28"/>
          <w:szCs w:val="28"/>
          <w:lang w:val="vi-VN"/>
        </w:rPr>
        <w:t xml:space="preserve"> Phạm vi điều chỉnh: Quy định mức giá dịch vụ khám bệnh, chữa bệnh không thuộc phạm vi thanh toán của Quỹ bảo hiểm y tế trong các cơ sở khám bệnh, chữa bệnh </w:t>
      </w:r>
      <w:r w:rsidR="00A51034" w:rsidRPr="00A51034">
        <w:rPr>
          <w:sz w:val="28"/>
          <w:szCs w:val="28"/>
        </w:rPr>
        <w:t>của Nhà nước trên</w:t>
      </w:r>
      <w:r w:rsidR="00A51034" w:rsidRPr="00A51034">
        <w:rPr>
          <w:sz w:val="28"/>
          <w:szCs w:val="28"/>
          <w:lang w:val="vi-VN"/>
        </w:rPr>
        <w:t xml:space="preserve"> địa bàn tỉnh Hà Tĩnh.</w:t>
      </w:r>
    </w:p>
    <w:p w:rsidR="00A51034" w:rsidRPr="00A51034" w:rsidRDefault="00DC4B95" w:rsidP="0050742E">
      <w:pPr>
        <w:spacing w:before="60" w:after="60"/>
        <w:ind w:firstLine="720"/>
        <w:jc w:val="both"/>
        <w:rPr>
          <w:sz w:val="28"/>
          <w:szCs w:val="28"/>
        </w:rPr>
      </w:pPr>
      <w:r>
        <w:rPr>
          <w:sz w:val="28"/>
          <w:szCs w:val="28"/>
        </w:rPr>
        <w:t>-</w:t>
      </w:r>
      <w:r w:rsidR="00A51034" w:rsidRPr="00A51034">
        <w:rPr>
          <w:sz w:val="28"/>
          <w:szCs w:val="28"/>
          <w:lang w:val="vi-VN"/>
        </w:rPr>
        <w:t xml:space="preserve"> Đối tượng áp dụng: Các cơ sở khám bệnh, chữa bệnh công lập;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sidR="00A51034" w:rsidRPr="00A51034" w:rsidRDefault="00DC4B95" w:rsidP="0050742E">
      <w:pPr>
        <w:spacing w:before="60" w:after="60"/>
        <w:ind w:firstLine="720"/>
        <w:jc w:val="both"/>
        <w:rPr>
          <w:sz w:val="28"/>
          <w:szCs w:val="28"/>
          <w:lang w:val="vi-VN"/>
        </w:rPr>
      </w:pPr>
      <w:r>
        <w:rPr>
          <w:sz w:val="28"/>
          <w:szCs w:val="28"/>
        </w:rPr>
        <w:t>-</w:t>
      </w:r>
      <w:r w:rsidR="00A51034" w:rsidRPr="00A51034">
        <w:rPr>
          <w:sz w:val="28"/>
          <w:szCs w:val="28"/>
          <w:lang w:val="vi-VN"/>
        </w:rPr>
        <w:t xml:space="preserve"> Người bệnh có thẻ bảo hiểm y tế đi khám bệnh, chữa bệnh theo quy định của pháp luật về bảo hiểm y tế thì được Quỹ bảo hiểm y tế thanh toán chi phí khám bệnh, chữa bệnh theo quy định.</w:t>
      </w:r>
    </w:p>
    <w:p w:rsidR="00A51034" w:rsidRPr="00A51034" w:rsidRDefault="00DC4B95" w:rsidP="0050742E">
      <w:pPr>
        <w:spacing w:before="60" w:after="60"/>
        <w:ind w:firstLine="720"/>
        <w:jc w:val="both"/>
        <w:rPr>
          <w:sz w:val="28"/>
          <w:szCs w:val="28"/>
        </w:rPr>
      </w:pPr>
      <w:r>
        <w:rPr>
          <w:sz w:val="28"/>
          <w:szCs w:val="28"/>
        </w:rPr>
        <w:t>-</w:t>
      </w:r>
      <w:r w:rsidR="00A51034" w:rsidRPr="00A51034">
        <w:rPr>
          <w:sz w:val="28"/>
          <w:szCs w:val="28"/>
          <w:lang w:val="vi-VN"/>
        </w:rPr>
        <w:t xml:space="preserve"> Quy định </w:t>
      </w:r>
      <w:r w:rsidR="00A51034" w:rsidRPr="00A51034">
        <w:rPr>
          <w:sz w:val="28"/>
          <w:szCs w:val="28"/>
        </w:rPr>
        <w:t xml:space="preserve">mức </w:t>
      </w:r>
      <w:r w:rsidR="00A51034" w:rsidRPr="00A51034">
        <w:rPr>
          <w:sz w:val="28"/>
          <w:szCs w:val="28"/>
          <w:lang w:val="vi-VN"/>
        </w:rPr>
        <w:t>giá dịch vụ này không áp dụng đối với các dịch vụ khám bệnh, chữa bệnh trong các trường hợp sau đây:</w:t>
      </w:r>
    </w:p>
    <w:p w:rsidR="00A51034" w:rsidRPr="00A51034" w:rsidRDefault="00DC4B95" w:rsidP="0050742E">
      <w:pPr>
        <w:spacing w:before="60" w:after="60"/>
        <w:ind w:firstLine="720"/>
        <w:jc w:val="both"/>
        <w:rPr>
          <w:sz w:val="28"/>
          <w:szCs w:val="28"/>
        </w:rPr>
      </w:pPr>
      <w:r>
        <w:rPr>
          <w:sz w:val="28"/>
          <w:szCs w:val="28"/>
        </w:rPr>
        <w:t>+</w:t>
      </w:r>
      <w:r w:rsidR="00A51034" w:rsidRPr="00A51034">
        <w:rPr>
          <w:sz w:val="28"/>
          <w:szCs w:val="28"/>
          <w:lang w:val="vi-VN"/>
        </w:rPr>
        <w:t xml:space="preserve"> Đơn </w:t>
      </w:r>
      <w:r w:rsidR="00A51034" w:rsidRPr="00A51034">
        <w:rPr>
          <w:sz w:val="28"/>
          <w:szCs w:val="28"/>
        </w:rPr>
        <w:t>vị góp</w:t>
      </w:r>
      <w:r w:rsidR="00A51034" w:rsidRPr="00A51034">
        <w:rPr>
          <w:sz w:val="28"/>
          <w:szCs w:val="28"/>
          <w:lang w:val="vi-VN"/>
        </w:rPr>
        <w:t xml:space="preserve">, huy động vốn, liên doanh, liên kết theo quy định tại Điều 6 Nghị định </w:t>
      </w:r>
      <w:r w:rsidR="00A51034" w:rsidRPr="00A51034">
        <w:rPr>
          <w:sz w:val="28"/>
          <w:szCs w:val="28"/>
        </w:rPr>
        <w:t xml:space="preserve">số </w:t>
      </w:r>
      <w:r w:rsidR="00A51034" w:rsidRPr="00A51034">
        <w:rPr>
          <w:sz w:val="28"/>
          <w:szCs w:val="28"/>
          <w:lang w:val="vi-VN"/>
        </w:rPr>
        <w:t xml:space="preserve">85/2012/NĐ-CP, ngày 12 tháng 10 năm 2012 của Chính phủ về cơ chế hoạt </w:t>
      </w:r>
      <w:r w:rsidR="00A51034" w:rsidRPr="00A51034">
        <w:rPr>
          <w:sz w:val="28"/>
          <w:szCs w:val="28"/>
        </w:rPr>
        <w:t>độ</w:t>
      </w:r>
      <w:r w:rsidR="00A51034" w:rsidRPr="00A51034">
        <w:rPr>
          <w:sz w:val="28"/>
          <w:szCs w:val="28"/>
          <w:lang w:val="vi-VN"/>
        </w:rPr>
        <w:t>ng, cơ chế tài chính đối với các đơn vị sự nghiệp y tế công lập và giá dịch vụ khám bệnh, chữa bệnh của các cơ sở khám bệnh, chữa bệnh công lập và thực hiệ</w:t>
      </w:r>
      <w:r w:rsidR="00A51034" w:rsidRPr="00A51034">
        <w:rPr>
          <w:sz w:val="28"/>
          <w:szCs w:val="28"/>
        </w:rPr>
        <w:t xml:space="preserve">n </w:t>
      </w:r>
      <w:r w:rsidR="00A51034" w:rsidRPr="00A51034">
        <w:rPr>
          <w:sz w:val="28"/>
          <w:szCs w:val="28"/>
          <w:lang w:val="vi-VN"/>
        </w:rPr>
        <w:t xml:space="preserve">giá dịch vụ theo nguyên tắc bảo đảm đủ bù đắp chi phí và có tích lũy; </w:t>
      </w:r>
    </w:p>
    <w:p w:rsidR="00A51034" w:rsidRPr="00A51034" w:rsidRDefault="00DC4B95" w:rsidP="0050742E">
      <w:pPr>
        <w:spacing w:before="60" w:after="60"/>
        <w:ind w:firstLine="720"/>
        <w:jc w:val="both"/>
        <w:rPr>
          <w:sz w:val="28"/>
          <w:szCs w:val="28"/>
        </w:rPr>
      </w:pPr>
      <w:r>
        <w:rPr>
          <w:sz w:val="28"/>
          <w:szCs w:val="28"/>
        </w:rPr>
        <w:t>+</w:t>
      </w:r>
      <w:r w:rsidR="00A51034" w:rsidRPr="00A51034">
        <w:rPr>
          <w:sz w:val="28"/>
          <w:szCs w:val="28"/>
          <w:lang w:val="vi-VN"/>
        </w:rPr>
        <w:t xml:space="preserve"> Cơ sở khám bệnh, chữa bệnh hoạt động theo mô hình doanh nghiệp do đơn vị sự nghiệp công vay vốn đ</w:t>
      </w:r>
      <w:r w:rsidR="00A51034" w:rsidRPr="00A51034">
        <w:rPr>
          <w:sz w:val="28"/>
          <w:szCs w:val="28"/>
        </w:rPr>
        <w:t xml:space="preserve">ể </w:t>
      </w:r>
      <w:r w:rsidR="00A51034" w:rsidRPr="00A51034">
        <w:rPr>
          <w:sz w:val="28"/>
          <w:szCs w:val="28"/>
          <w:lang w:val="vi-VN"/>
        </w:rPr>
        <w:t xml:space="preserve">đầu tư, hợp tác đầu tư theo Nghị quyết số 93/NQ-CP, ngày 15 tháng 12 năm 2014 của Chính phủ về một số cơ chế, chính sách phát triển y tế; </w:t>
      </w:r>
    </w:p>
    <w:p w:rsidR="00A51034" w:rsidRPr="00A51034" w:rsidRDefault="00DC4B95" w:rsidP="0050742E">
      <w:pPr>
        <w:spacing w:before="60" w:after="60"/>
        <w:ind w:firstLine="720"/>
        <w:jc w:val="both"/>
        <w:rPr>
          <w:sz w:val="28"/>
          <w:szCs w:val="28"/>
          <w:lang w:val="vi-VN"/>
        </w:rPr>
      </w:pPr>
      <w:r>
        <w:rPr>
          <w:sz w:val="28"/>
          <w:szCs w:val="28"/>
        </w:rPr>
        <w:t>+</w:t>
      </w:r>
      <w:r w:rsidR="00A51034" w:rsidRPr="00A51034">
        <w:rPr>
          <w:sz w:val="28"/>
          <w:szCs w:val="28"/>
          <w:lang w:val="vi-VN"/>
        </w:rPr>
        <w:t xml:space="preserve"> Cơ sở khám bệnh, chữa bệnh đầu tư theo hình thức đối tác công tư theo quy định của Chính phủ về đầu tư theo hình thức đối tác công tư.</w:t>
      </w:r>
    </w:p>
    <w:bookmarkEnd w:id="17"/>
    <w:p w:rsidR="001F1905" w:rsidRPr="001F1905" w:rsidRDefault="007A212D" w:rsidP="0050742E">
      <w:pPr>
        <w:spacing w:before="60" w:after="60"/>
        <w:ind w:firstLine="720"/>
        <w:jc w:val="both"/>
        <w:rPr>
          <w:b/>
          <w:i/>
          <w:sz w:val="28"/>
          <w:szCs w:val="28"/>
          <w:lang w:val="vi-VN"/>
        </w:rPr>
      </w:pPr>
      <w:r w:rsidRPr="007A212D">
        <w:rPr>
          <w:b/>
          <w:i/>
          <w:sz w:val="28"/>
          <w:szCs w:val="28"/>
          <w:lang w:val="vi-VN"/>
        </w:rPr>
        <w:t xml:space="preserve">13. </w:t>
      </w:r>
      <w:r w:rsidR="001F1905" w:rsidRPr="001F1905">
        <w:rPr>
          <w:b/>
          <w:i/>
          <w:sz w:val="28"/>
          <w:szCs w:val="28"/>
          <w:lang w:val="vi-VN"/>
        </w:rPr>
        <w:t>Nghị quyết quy định chính sách hỗ trợ thu nhập cho các thành viên hộ nghèo thuộc chính sách bảo trợ xã hội trên địa bàn tỉnh</w:t>
      </w:r>
    </w:p>
    <w:p w:rsidR="001F1905" w:rsidRDefault="001F1905" w:rsidP="0050742E">
      <w:pPr>
        <w:spacing w:before="60" w:after="60"/>
        <w:ind w:firstLine="720"/>
        <w:jc w:val="both"/>
        <w:rPr>
          <w:spacing w:val="-2"/>
          <w:sz w:val="28"/>
          <w:szCs w:val="28"/>
        </w:rPr>
      </w:pPr>
      <w:r w:rsidRPr="00F641FA">
        <w:rPr>
          <w:spacing w:val="-2"/>
          <w:sz w:val="28"/>
          <w:szCs w:val="28"/>
        </w:rPr>
        <w:lastRenderedPageBreak/>
        <w:t xml:space="preserve">UBND tỉnh sẽ trình HĐND </w:t>
      </w:r>
      <w:r w:rsidRPr="00382818">
        <w:rPr>
          <w:spacing w:val="-2"/>
          <w:sz w:val="28"/>
          <w:szCs w:val="28"/>
        </w:rPr>
        <w:t xml:space="preserve">tỉnh thông qua Nghị quyết </w:t>
      </w:r>
      <w:r w:rsidRPr="001F1905">
        <w:rPr>
          <w:spacing w:val="-2"/>
          <w:sz w:val="28"/>
          <w:szCs w:val="28"/>
        </w:rPr>
        <w:t>quy định chính sách hỗ trợ thu nhập cho các thành viên hộ nghèo thuộc chính sách bảo trợ xã hội trên địa bàn tỉnh</w:t>
      </w:r>
      <w:r>
        <w:rPr>
          <w:spacing w:val="-2"/>
          <w:sz w:val="28"/>
          <w:szCs w:val="28"/>
        </w:rPr>
        <w:t>, với các nội dung chính như sau:</w:t>
      </w:r>
    </w:p>
    <w:p w:rsidR="001F1905" w:rsidRPr="001F1905" w:rsidRDefault="001F1905" w:rsidP="0050742E">
      <w:pPr>
        <w:spacing w:before="60" w:after="60"/>
        <w:ind w:firstLine="720"/>
        <w:jc w:val="both"/>
        <w:rPr>
          <w:spacing w:val="-2"/>
          <w:sz w:val="28"/>
          <w:szCs w:val="28"/>
        </w:rPr>
      </w:pPr>
      <w:r>
        <w:rPr>
          <w:spacing w:val="-2"/>
          <w:sz w:val="28"/>
          <w:szCs w:val="28"/>
        </w:rPr>
        <w:t>-</w:t>
      </w:r>
      <w:r w:rsidRPr="001F1905">
        <w:rPr>
          <w:spacing w:val="-2"/>
          <w:sz w:val="28"/>
          <w:szCs w:val="28"/>
        </w:rPr>
        <w:t xml:space="preserve"> Điều kiện hỗ trợ</w:t>
      </w:r>
      <w:r>
        <w:rPr>
          <w:spacing w:val="-2"/>
          <w:sz w:val="28"/>
          <w:szCs w:val="28"/>
        </w:rPr>
        <w:t xml:space="preserve">: </w:t>
      </w:r>
      <w:r w:rsidRPr="001F1905">
        <w:rPr>
          <w:spacing w:val="-2"/>
          <w:sz w:val="28"/>
          <w:szCs w:val="28"/>
        </w:rPr>
        <w:t>Không hưởng lương hưu, trợ cấp bảo hiểm xã hội, trợ cấp người có công, trợ giúp xã hội theo Nghị định 136/2013/NĐ-CP ngày 21/10/2013 của Chính phủ quy định chính sách trợ giúp xã hội đối với đối tượng bảo trợ xã hội.</w:t>
      </w:r>
    </w:p>
    <w:p w:rsidR="001F1905" w:rsidRPr="001F1905" w:rsidRDefault="001F1905" w:rsidP="0050742E">
      <w:pPr>
        <w:spacing w:before="60" w:after="60"/>
        <w:ind w:firstLine="720"/>
        <w:jc w:val="both"/>
        <w:rPr>
          <w:spacing w:val="-2"/>
          <w:sz w:val="28"/>
          <w:szCs w:val="28"/>
        </w:rPr>
      </w:pPr>
      <w:r>
        <w:rPr>
          <w:spacing w:val="-2"/>
          <w:sz w:val="28"/>
          <w:szCs w:val="28"/>
        </w:rPr>
        <w:t>-</w:t>
      </w:r>
      <w:r w:rsidRPr="001F1905">
        <w:rPr>
          <w:spacing w:val="-2"/>
          <w:sz w:val="28"/>
          <w:szCs w:val="28"/>
        </w:rPr>
        <w:t xml:space="preserve"> Mức hỗ trợ: 270.000 đồng/người/tháng. </w:t>
      </w:r>
    </w:p>
    <w:p w:rsidR="001F1905" w:rsidRPr="001F1905" w:rsidRDefault="001F1905" w:rsidP="0050742E">
      <w:pPr>
        <w:spacing w:before="60" w:after="60"/>
        <w:ind w:firstLine="720"/>
        <w:jc w:val="both"/>
        <w:rPr>
          <w:spacing w:val="-2"/>
          <w:sz w:val="28"/>
          <w:szCs w:val="28"/>
        </w:rPr>
      </w:pPr>
      <w:r>
        <w:rPr>
          <w:spacing w:val="-2"/>
          <w:sz w:val="28"/>
          <w:szCs w:val="28"/>
        </w:rPr>
        <w:t>-</w:t>
      </w:r>
      <w:r w:rsidRPr="001F1905">
        <w:rPr>
          <w:spacing w:val="-2"/>
          <w:sz w:val="28"/>
          <w:szCs w:val="28"/>
        </w:rPr>
        <w:t xml:space="preserve"> Kinh phí thực hiện: Từ nguồn ngân sách tỉnh.</w:t>
      </w:r>
    </w:p>
    <w:p w:rsidR="0081349F" w:rsidRDefault="007A212D" w:rsidP="0050742E">
      <w:pPr>
        <w:spacing w:before="60" w:after="60"/>
        <w:ind w:firstLine="720"/>
        <w:jc w:val="both"/>
        <w:rPr>
          <w:b/>
          <w:i/>
          <w:sz w:val="28"/>
          <w:szCs w:val="28"/>
          <w:lang w:val="vi-VN"/>
        </w:rPr>
      </w:pPr>
      <w:r w:rsidRPr="0053569F">
        <w:rPr>
          <w:b/>
          <w:i/>
          <w:sz w:val="28"/>
          <w:szCs w:val="28"/>
          <w:lang w:val="vi-VN"/>
        </w:rPr>
        <w:t xml:space="preserve">14. </w:t>
      </w:r>
      <w:r w:rsidR="00290DD3" w:rsidRPr="001F1905">
        <w:rPr>
          <w:b/>
          <w:i/>
          <w:sz w:val="28"/>
          <w:szCs w:val="28"/>
          <w:lang w:val="vi-VN"/>
        </w:rPr>
        <w:t xml:space="preserve">Nghị quyết </w:t>
      </w:r>
      <w:r w:rsidR="00290DD3" w:rsidRPr="0053569F">
        <w:rPr>
          <w:b/>
          <w:i/>
          <w:sz w:val="28"/>
          <w:szCs w:val="28"/>
          <w:lang w:val="vi-VN"/>
        </w:rPr>
        <w:t>q</w:t>
      </w:r>
      <w:r w:rsidR="0081349F" w:rsidRPr="0053569F">
        <w:rPr>
          <w:b/>
          <w:i/>
          <w:sz w:val="28"/>
          <w:szCs w:val="28"/>
          <w:lang w:val="vi-VN"/>
        </w:rPr>
        <w:t>uy định định mức chi phí đào tạo trình độ cao đẳng, trình độ trung cấp trong hệ thống giáo dục nghề nghiệp áp dụng từ năm học 2020-2021 đến năm học 2024-2025 trên địa bàn tỉnh</w:t>
      </w:r>
    </w:p>
    <w:p w:rsidR="0053569F" w:rsidRDefault="0053569F" w:rsidP="0050742E">
      <w:pPr>
        <w:spacing w:before="60" w:after="60"/>
        <w:ind w:firstLine="720"/>
        <w:jc w:val="both"/>
        <w:rPr>
          <w:spacing w:val="-2"/>
          <w:sz w:val="28"/>
          <w:szCs w:val="28"/>
        </w:rPr>
      </w:pPr>
      <w:r>
        <w:rPr>
          <w:spacing w:val="-2"/>
          <w:sz w:val="28"/>
          <w:szCs w:val="28"/>
        </w:rPr>
        <w:t>Đ</w:t>
      </w:r>
      <w:r w:rsidRPr="0053569F">
        <w:rPr>
          <w:spacing w:val="-2"/>
          <w:sz w:val="28"/>
          <w:szCs w:val="28"/>
        </w:rPr>
        <w:t xml:space="preserve">ể đẩy mạnh xã hội hóa trong giáo dục nghề nghiệp; tạo điều kiện thuận lợi cho cá nhân tổ chức tham gia vào hoạt động giáo dục nghề nghiệp; tạo môi trường công bằng trong hoạt động giáo dục nghề nghiệp cho các cơ sở công lập và cơ sở tư thục; thúc đẩy các trường tư thục phát triển; tiến tới triển khai nhiệm vụ đặt hàng dịch vụ công về lĩnh vực giáo dục nghề nghiệp theo quy định tại Nghị định số 32/2019/NĐ-CP ngày 10/4/2019 của Chính phủ quy định giao nhiệm vụ, đặt hàng hoặc đấu thầu cung cấp sản phẩm, dịch vụ công sử dụng ngân sách nhà nước từ nguồn kinh phí chi thường xuyên. </w:t>
      </w:r>
    </w:p>
    <w:p w:rsidR="0053569F" w:rsidRDefault="0053569F" w:rsidP="0050742E">
      <w:pPr>
        <w:spacing w:before="60" w:after="60"/>
        <w:ind w:firstLine="720"/>
        <w:jc w:val="both"/>
        <w:rPr>
          <w:spacing w:val="-2"/>
          <w:sz w:val="28"/>
          <w:szCs w:val="28"/>
        </w:rPr>
      </w:pPr>
      <w:r w:rsidRPr="00F641FA">
        <w:rPr>
          <w:spacing w:val="-2"/>
          <w:sz w:val="28"/>
          <w:szCs w:val="28"/>
        </w:rPr>
        <w:t xml:space="preserve">UBND tỉnh sẽ trình HĐND </w:t>
      </w:r>
      <w:r w:rsidRPr="00382818">
        <w:rPr>
          <w:spacing w:val="-2"/>
          <w:sz w:val="28"/>
          <w:szCs w:val="28"/>
        </w:rPr>
        <w:t xml:space="preserve">tỉnh thông qua Nghị quyết </w:t>
      </w:r>
      <w:r w:rsidRPr="0053569F">
        <w:rPr>
          <w:spacing w:val="-2"/>
          <w:sz w:val="28"/>
          <w:szCs w:val="28"/>
        </w:rPr>
        <w:t>quy định định mức chi phí đào tạo trình độ cao đẳng, trình độ trung cấp trong hệ thống giáo dục nghề nghiệp áp dụng từ năm học 2020-2021 đến năm học 2024-2025 trên địa bàn tỉnh</w:t>
      </w:r>
      <w:r>
        <w:rPr>
          <w:spacing w:val="-2"/>
          <w:sz w:val="28"/>
          <w:szCs w:val="28"/>
        </w:rPr>
        <w:t>, với nội dung chính như sau:</w:t>
      </w:r>
    </w:p>
    <w:p w:rsidR="0053569F" w:rsidRPr="0053569F" w:rsidRDefault="0053569F" w:rsidP="0050742E">
      <w:pPr>
        <w:spacing w:before="60" w:after="60"/>
        <w:ind w:firstLine="720"/>
        <w:jc w:val="both"/>
        <w:rPr>
          <w:i/>
          <w:spacing w:val="-2"/>
          <w:sz w:val="28"/>
          <w:szCs w:val="28"/>
        </w:rPr>
      </w:pPr>
      <w:r>
        <w:rPr>
          <w:i/>
          <w:sz w:val="28"/>
          <w:szCs w:val="28"/>
        </w:rPr>
        <w:t xml:space="preserve">a. </w:t>
      </w:r>
      <w:r w:rsidRPr="0053569F">
        <w:rPr>
          <w:i/>
          <w:sz w:val="28"/>
          <w:szCs w:val="28"/>
          <w:lang w:val="vi-VN"/>
        </w:rPr>
        <w:t>Định mức chi phí đào tạo đối với trình độ cao đẳng trong hệ thống giáo dục nghề nghiệp:</w:t>
      </w:r>
    </w:p>
    <w:p w:rsidR="0053569F" w:rsidRPr="00334736" w:rsidRDefault="0053569F" w:rsidP="0050742E">
      <w:pPr>
        <w:pStyle w:val="NormalWeb"/>
        <w:spacing w:before="60" w:beforeAutospacing="0" w:after="60" w:afterAutospacing="0"/>
        <w:jc w:val="right"/>
        <w:rPr>
          <w:i/>
          <w:iCs/>
          <w:sz w:val="28"/>
          <w:szCs w:val="28"/>
          <w:lang w:val="vi-VN"/>
        </w:rPr>
      </w:pPr>
      <w:r w:rsidRPr="009917EC">
        <w:rPr>
          <w:i/>
          <w:iCs/>
          <w:sz w:val="28"/>
          <w:szCs w:val="28"/>
          <w:lang w:val="vi-VN"/>
        </w:rPr>
        <w:t xml:space="preserve">Đơn vị: </w:t>
      </w:r>
      <w:r w:rsidRPr="00334736">
        <w:rPr>
          <w:b/>
          <w:bCs/>
          <w:i/>
          <w:iCs/>
          <w:sz w:val="26"/>
          <w:szCs w:val="26"/>
          <w:lang w:val="vi-VN"/>
        </w:rPr>
        <w:t xml:space="preserve"> </w:t>
      </w:r>
      <w:r w:rsidRPr="00334736">
        <w:rPr>
          <w:bCs/>
          <w:i/>
          <w:iCs/>
          <w:sz w:val="26"/>
          <w:szCs w:val="26"/>
          <w:lang w:val="vi-VN"/>
        </w:rPr>
        <w:t>1000 đồng/người/khóa học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
        <w:gridCol w:w="2739"/>
        <w:gridCol w:w="1260"/>
        <w:gridCol w:w="1200"/>
        <w:gridCol w:w="1591"/>
        <w:gridCol w:w="1566"/>
      </w:tblGrid>
      <w:tr w:rsidR="00146F89" w:rsidRPr="00334736" w:rsidTr="00146F89">
        <w:trPr>
          <w:trHeight w:val="777"/>
          <w:jc w:val="center"/>
        </w:trPr>
        <w:tc>
          <w:tcPr>
            <w:tcW w:w="390"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sidRPr="00F35AA7">
              <w:rPr>
                <w:b/>
                <w:bCs/>
                <w:lang w:val="vi-VN"/>
              </w:rPr>
              <w:t>STT</w:t>
            </w:r>
          </w:p>
        </w:tc>
        <w:tc>
          <w:tcPr>
            <w:tcW w:w="1511"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sidRPr="00F35AA7">
              <w:rPr>
                <w:b/>
                <w:bCs/>
              </w:rPr>
              <w:t>Tên nghề đào tạo</w:t>
            </w:r>
          </w:p>
        </w:tc>
        <w:tc>
          <w:tcPr>
            <w:tcW w:w="695"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sidRPr="00F35AA7">
              <w:rPr>
                <w:b/>
                <w:bCs/>
                <w:lang w:val="vi-VN"/>
              </w:rPr>
              <w:t xml:space="preserve">Tổng số giờ học </w:t>
            </w:r>
            <w:r w:rsidRPr="00F35AA7">
              <w:rPr>
                <w:b/>
                <w:bCs/>
                <w:i/>
                <w:iCs/>
                <w:lang w:val="vi-VN"/>
              </w:rPr>
              <w:t>(giờ)</w:t>
            </w:r>
          </w:p>
        </w:tc>
        <w:tc>
          <w:tcPr>
            <w:tcW w:w="662"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sidRPr="00F35AA7">
              <w:rPr>
                <w:bCs/>
                <w:lang w:val="vi-VN"/>
              </w:rPr>
              <w:t xml:space="preserve">Lý thuyết </w:t>
            </w:r>
            <w:r w:rsidRPr="00F35AA7">
              <w:rPr>
                <w:bCs/>
                <w:i/>
                <w:iCs/>
                <w:lang w:val="vi-VN"/>
              </w:rPr>
              <w:t>(gi</w:t>
            </w:r>
            <w:r w:rsidRPr="00F35AA7">
              <w:rPr>
                <w:bCs/>
                <w:i/>
                <w:iCs/>
              </w:rPr>
              <w:t>ờ</w:t>
            </w:r>
            <w:r w:rsidRPr="00F35AA7">
              <w:rPr>
                <w:bCs/>
                <w:i/>
                <w:iCs/>
                <w:lang w:val="vi-VN"/>
              </w:rPr>
              <w:t>)</w:t>
            </w:r>
          </w:p>
        </w:tc>
        <w:tc>
          <w:tcPr>
            <w:tcW w:w="878" w:type="pct"/>
            <w:shd w:val="solid" w:color="FFFFFF" w:fill="auto"/>
            <w:vAlign w:val="center"/>
          </w:tcPr>
          <w:p w:rsidR="0053569F" w:rsidRPr="00F35AA7" w:rsidRDefault="0053569F" w:rsidP="0050742E">
            <w:pPr>
              <w:spacing w:before="60" w:after="60"/>
              <w:jc w:val="center"/>
            </w:pPr>
            <w:r w:rsidRPr="00F35AA7">
              <w:rPr>
                <w:bCs/>
                <w:lang w:val="vi-VN"/>
              </w:rPr>
              <w:t>Thực hành</w:t>
            </w:r>
            <w:r w:rsidRPr="00F35AA7">
              <w:rPr>
                <w:bCs/>
              </w:rPr>
              <w:t xml:space="preserve">/ thực tập/ </w:t>
            </w:r>
            <w:r>
              <w:rPr>
                <w:bCs/>
              </w:rPr>
              <w:t>KT</w:t>
            </w:r>
            <w:r w:rsidRPr="00F35AA7">
              <w:rPr>
                <w:bCs/>
                <w:lang w:val="vi-VN"/>
              </w:rPr>
              <w:t xml:space="preserve"> </w:t>
            </w:r>
            <w:r w:rsidRPr="00F35AA7">
              <w:rPr>
                <w:bCs/>
                <w:i/>
                <w:iCs/>
                <w:lang w:val="vi-VN"/>
              </w:rPr>
              <w:t>(giờ)</w:t>
            </w:r>
          </w:p>
        </w:tc>
        <w:tc>
          <w:tcPr>
            <w:tcW w:w="864" w:type="pct"/>
            <w:shd w:val="solid" w:color="FFFFFF" w:fill="auto"/>
            <w:vAlign w:val="center"/>
          </w:tcPr>
          <w:p w:rsidR="0053569F" w:rsidRPr="00334736" w:rsidRDefault="0053569F" w:rsidP="0050742E">
            <w:pPr>
              <w:spacing w:before="60" w:after="60"/>
              <w:ind w:right="27"/>
              <w:jc w:val="center"/>
              <w:rPr>
                <w:b/>
                <w:bCs/>
                <w:sz w:val="26"/>
                <w:szCs w:val="26"/>
                <w:lang w:val="vi-VN"/>
              </w:rPr>
            </w:pPr>
            <w:r w:rsidRPr="00334736">
              <w:rPr>
                <w:b/>
                <w:bCs/>
                <w:sz w:val="26"/>
                <w:szCs w:val="26"/>
                <w:lang w:val="vi-VN"/>
              </w:rPr>
              <w:t>Định mức chi phí đào tạo</w:t>
            </w:r>
          </w:p>
        </w:tc>
      </w:tr>
      <w:tr w:rsidR="00146F89" w:rsidRPr="003D1ECE" w:rsidTr="00146F89">
        <w:trPr>
          <w:trHeight w:val="473"/>
          <w:jc w:val="center"/>
        </w:trPr>
        <w:tc>
          <w:tcPr>
            <w:tcW w:w="390" w:type="pct"/>
            <w:shd w:val="solid" w:color="FFFFFF" w:fill="auto"/>
            <w:tcMar>
              <w:top w:w="0" w:type="dxa"/>
              <w:left w:w="0" w:type="dxa"/>
              <w:bottom w:w="0" w:type="dxa"/>
              <w:right w:w="0" w:type="dxa"/>
            </w:tcMar>
            <w:vAlign w:val="center"/>
          </w:tcPr>
          <w:p w:rsidR="0053569F" w:rsidRPr="003D1ECE" w:rsidRDefault="0053569F" w:rsidP="0050742E">
            <w:pPr>
              <w:spacing w:before="60" w:after="60"/>
              <w:jc w:val="center"/>
              <w:rPr>
                <w:sz w:val="28"/>
                <w:szCs w:val="28"/>
              </w:rPr>
            </w:pPr>
            <w:r w:rsidRPr="003D1ECE">
              <w:rPr>
                <w:sz w:val="28"/>
                <w:szCs w:val="28"/>
                <w:lang w:val="vi-VN"/>
              </w:rPr>
              <w:t>1</w:t>
            </w:r>
          </w:p>
        </w:tc>
        <w:tc>
          <w:tcPr>
            <w:tcW w:w="1511"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38"/>
              <w:jc w:val="both"/>
              <w:rPr>
                <w:sz w:val="26"/>
                <w:szCs w:val="26"/>
              </w:rPr>
            </w:pPr>
            <w:r w:rsidRPr="00F35AA7">
              <w:rPr>
                <w:sz w:val="26"/>
                <w:szCs w:val="26"/>
              </w:rPr>
              <w:t>Điện Công nghiệp</w:t>
            </w:r>
          </w:p>
        </w:tc>
        <w:tc>
          <w:tcPr>
            <w:tcW w:w="695"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color w:val="000000"/>
                <w:lang w:val="vi-VN"/>
              </w:rPr>
              <w:t>3.125</w:t>
            </w:r>
          </w:p>
        </w:tc>
        <w:tc>
          <w:tcPr>
            <w:tcW w:w="662"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lang w:val="vi-VN"/>
              </w:rPr>
              <w:t>1.249</w:t>
            </w:r>
          </w:p>
        </w:tc>
        <w:tc>
          <w:tcPr>
            <w:tcW w:w="878"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color w:val="000000"/>
                <w:lang w:val="sv-SE"/>
              </w:rPr>
              <w:t>1.8</w:t>
            </w:r>
            <w:r>
              <w:rPr>
                <w:color w:val="000000"/>
                <w:lang w:val="vi-VN"/>
              </w:rPr>
              <w:t>76</w:t>
            </w:r>
          </w:p>
        </w:tc>
        <w:tc>
          <w:tcPr>
            <w:tcW w:w="864"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color w:val="000000"/>
                <w:lang w:val="sv-SE"/>
              </w:rPr>
              <w:t>49.713</w:t>
            </w:r>
          </w:p>
        </w:tc>
      </w:tr>
      <w:tr w:rsidR="00146F89" w:rsidRPr="003D1ECE" w:rsidTr="00146F89">
        <w:trPr>
          <w:trHeight w:val="72"/>
          <w:jc w:val="center"/>
        </w:trPr>
        <w:tc>
          <w:tcPr>
            <w:tcW w:w="390" w:type="pct"/>
            <w:shd w:val="solid" w:color="FFFFFF" w:fill="auto"/>
            <w:tcMar>
              <w:top w:w="0" w:type="dxa"/>
              <w:left w:w="0" w:type="dxa"/>
              <w:bottom w:w="0" w:type="dxa"/>
              <w:right w:w="0" w:type="dxa"/>
            </w:tcMar>
          </w:tcPr>
          <w:p w:rsidR="0053569F" w:rsidRPr="00F2600B" w:rsidRDefault="0053569F" w:rsidP="0050742E">
            <w:pPr>
              <w:spacing w:before="60" w:after="60"/>
              <w:jc w:val="center"/>
              <w:rPr>
                <w:sz w:val="28"/>
                <w:szCs w:val="28"/>
              </w:rPr>
            </w:pPr>
            <w:r>
              <w:rPr>
                <w:sz w:val="28"/>
                <w:szCs w:val="28"/>
              </w:rPr>
              <w:t>2</w:t>
            </w:r>
          </w:p>
        </w:tc>
        <w:tc>
          <w:tcPr>
            <w:tcW w:w="1511"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38"/>
              <w:jc w:val="both"/>
              <w:rPr>
                <w:sz w:val="26"/>
                <w:szCs w:val="26"/>
                <w:lang w:val="nl-NL"/>
              </w:rPr>
            </w:pPr>
            <w:r w:rsidRPr="00F35AA7">
              <w:rPr>
                <w:sz w:val="26"/>
                <w:szCs w:val="26"/>
                <w:lang w:val="nl-NL"/>
              </w:rPr>
              <w:t>Quản trị mạng máy tính</w:t>
            </w:r>
          </w:p>
        </w:tc>
        <w:tc>
          <w:tcPr>
            <w:tcW w:w="695"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color w:val="000000"/>
                <w:lang w:val="vi-VN"/>
              </w:rPr>
              <w:t>3.100</w:t>
            </w:r>
          </w:p>
        </w:tc>
        <w:tc>
          <w:tcPr>
            <w:tcW w:w="662"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t>1</w:t>
            </w:r>
            <w:r>
              <w:rPr>
                <w:lang w:val="vi-VN"/>
              </w:rPr>
              <w:t>.124</w:t>
            </w:r>
          </w:p>
        </w:tc>
        <w:tc>
          <w:tcPr>
            <w:tcW w:w="878"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color w:val="000000"/>
                <w:lang w:val="sv-SE"/>
              </w:rPr>
              <w:t>1.</w:t>
            </w:r>
            <w:r>
              <w:rPr>
                <w:color w:val="000000"/>
                <w:lang w:val="vi-VN"/>
              </w:rPr>
              <w:t>976</w:t>
            </w:r>
          </w:p>
        </w:tc>
        <w:tc>
          <w:tcPr>
            <w:tcW w:w="864"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sv-SE"/>
              </w:rPr>
              <w:t>41.672</w:t>
            </w:r>
          </w:p>
        </w:tc>
      </w:tr>
      <w:tr w:rsidR="00146F89" w:rsidRPr="003D1ECE" w:rsidTr="00146F89">
        <w:trPr>
          <w:trHeight w:val="206"/>
          <w:jc w:val="center"/>
        </w:trPr>
        <w:tc>
          <w:tcPr>
            <w:tcW w:w="390" w:type="pct"/>
            <w:shd w:val="solid" w:color="FFFFFF" w:fill="auto"/>
            <w:tcMar>
              <w:top w:w="0" w:type="dxa"/>
              <w:left w:w="0" w:type="dxa"/>
              <w:bottom w:w="0" w:type="dxa"/>
              <w:right w:w="0" w:type="dxa"/>
            </w:tcMar>
            <w:vAlign w:val="center"/>
          </w:tcPr>
          <w:p w:rsidR="0053569F" w:rsidRPr="00F2600B" w:rsidRDefault="0053569F" w:rsidP="0050742E">
            <w:pPr>
              <w:spacing w:before="60" w:after="60"/>
              <w:jc w:val="center"/>
              <w:rPr>
                <w:sz w:val="28"/>
                <w:szCs w:val="28"/>
              </w:rPr>
            </w:pPr>
            <w:r>
              <w:rPr>
                <w:sz w:val="28"/>
                <w:szCs w:val="28"/>
              </w:rPr>
              <w:t>3</w:t>
            </w:r>
          </w:p>
        </w:tc>
        <w:tc>
          <w:tcPr>
            <w:tcW w:w="1511"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38" w:right="63"/>
              <w:jc w:val="both"/>
              <w:rPr>
                <w:sz w:val="26"/>
                <w:szCs w:val="26"/>
                <w:lang w:val="nl-NL"/>
              </w:rPr>
            </w:pPr>
            <w:r w:rsidRPr="00F35AA7">
              <w:rPr>
                <w:sz w:val="26"/>
                <w:szCs w:val="26"/>
                <w:lang w:val="nl-NL"/>
              </w:rPr>
              <w:t>Kỹ thuật máy lạnh điều hòa không khí</w:t>
            </w:r>
          </w:p>
        </w:tc>
        <w:tc>
          <w:tcPr>
            <w:tcW w:w="695"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lang w:val="vi-VN"/>
              </w:rPr>
              <w:t>3.150</w:t>
            </w:r>
          </w:p>
        </w:tc>
        <w:tc>
          <w:tcPr>
            <w:tcW w:w="662"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lang w:val="vi-VN"/>
              </w:rPr>
              <w:t>1191</w:t>
            </w:r>
          </w:p>
        </w:tc>
        <w:tc>
          <w:tcPr>
            <w:tcW w:w="878"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color w:val="000000"/>
                <w:lang w:val="sv-SE"/>
              </w:rPr>
              <w:t>1.</w:t>
            </w:r>
            <w:r>
              <w:rPr>
                <w:color w:val="000000"/>
                <w:lang w:val="vi-VN"/>
              </w:rPr>
              <w:t>959</w:t>
            </w:r>
          </w:p>
        </w:tc>
        <w:tc>
          <w:tcPr>
            <w:tcW w:w="864"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sv-SE"/>
              </w:rPr>
              <w:t>47.259</w:t>
            </w:r>
          </w:p>
        </w:tc>
      </w:tr>
    </w:tbl>
    <w:p w:rsidR="0053569F" w:rsidRPr="0053569F" w:rsidRDefault="0053569F" w:rsidP="0050742E">
      <w:pPr>
        <w:spacing w:before="60" w:after="60"/>
        <w:ind w:firstLine="720"/>
        <w:jc w:val="both"/>
        <w:rPr>
          <w:i/>
          <w:sz w:val="28"/>
          <w:szCs w:val="28"/>
          <w:lang w:val="vi-VN"/>
        </w:rPr>
      </w:pPr>
      <w:r w:rsidRPr="0053569F">
        <w:rPr>
          <w:i/>
          <w:sz w:val="28"/>
          <w:szCs w:val="28"/>
          <w:lang w:val="vi-VN"/>
        </w:rPr>
        <w:t>b. Định mức chi phí đào tạo đối với trình độ trung cấp trong hệ thống giáo dục nghề nghiệp:</w:t>
      </w:r>
    </w:p>
    <w:p w:rsidR="0053569F" w:rsidRDefault="0053569F" w:rsidP="0050742E">
      <w:pPr>
        <w:pStyle w:val="NormalWeb"/>
        <w:spacing w:before="60" w:beforeAutospacing="0" w:after="60" w:afterAutospacing="0"/>
        <w:jc w:val="right"/>
        <w:rPr>
          <w:bCs/>
          <w:i/>
          <w:iCs/>
          <w:sz w:val="28"/>
          <w:szCs w:val="28"/>
        </w:rPr>
      </w:pPr>
      <w:r w:rsidRPr="00334736">
        <w:rPr>
          <w:i/>
          <w:iCs/>
          <w:sz w:val="28"/>
          <w:szCs w:val="28"/>
          <w:lang w:val="vi-VN"/>
        </w:rPr>
        <w:t xml:space="preserve">Đơn vị tính: </w:t>
      </w:r>
      <w:r w:rsidRPr="00334736">
        <w:rPr>
          <w:bCs/>
          <w:i/>
          <w:iCs/>
          <w:sz w:val="28"/>
          <w:szCs w:val="28"/>
          <w:lang w:val="vi-VN"/>
        </w:rPr>
        <w:t>ĐVT: 1000 đồng/người/khóa học</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
        <w:gridCol w:w="3133"/>
        <w:gridCol w:w="1271"/>
        <w:gridCol w:w="1124"/>
        <w:gridCol w:w="1419"/>
        <w:gridCol w:w="1567"/>
      </w:tblGrid>
      <w:tr w:rsidR="008A40C5" w:rsidRPr="00334736" w:rsidTr="004F5A5A">
        <w:trPr>
          <w:trHeight w:val="883"/>
        </w:trPr>
        <w:tc>
          <w:tcPr>
            <w:tcW w:w="446"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sidRPr="00F35AA7">
              <w:rPr>
                <w:b/>
                <w:bCs/>
                <w:lang w:val="vi-VN"/>
              </w:rPr>
              <w:t>STT</w:t>
            </w:r>
          </w:p>
        </w:tc>
        <w:tc>
          <w:tcPr>
            <w:tcW w:w="1676" w:type="pct"/>
            <w:shd w:val="solid" w:color="FFFFFF" w:fill="auto"/>
            <w:tcMar>
              <w:top w:w="0" w:type="dxa"/>
              <w:left w:w="0" w:type="dxa"/>
              <w:bottom w:w="0" w:type="dxa"/>
              <w:right w:w="0" w:type="dxa"/>
            </w:tcMar>
            <w:vAlign w:val="center"/>
          </w:tcPr>
          <w:p w:rsidR="0053569F" w:rsidRPr="00F35AA7" w:rsidRDefault="0053569F" w:rsidP="0050742E">
            <w:pPr>
              <w:spacing w:before="60" w:after="60"/>
              <w:ind w:right="49"/>
              <w:jc w:val="center"/>
            </w:pPr>
            <w:r w:rsidRPr="00F35AA7">
              <w:rPr>
                <w:b/>
                <w:bCs/>
              </w:rPr>
              <w:t>Tên nghề đào tạo</w:t>
            </w:r>
          </w:p>
        </w:tc>
        <w:tc>
          <w:tcPr>
            <w:tcW w:w="680"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sidRPr="00F35AA7">
              <w:rPr>
                <w:b/>
                <w:bCs/>
                <w:lang w:val="vi-VN"/>
              </w:rPr>
              <w:t xml:space="preserve">Tổng số giờ học </w:t>
            </w:r>
            <w:r w:rsidRPr="00F35AA7">
              <w:rPr>
                <w:b/>
                <w:bCs/>
                <w:i/>
                <w:iCs/>
                <w:lang w:val="vi-VN"/>
              </w:rPr>
              <w:t>(giờ)</w:t>
            </w:r>
          </w:p>
        </w:tc>
        <w:tc>
          <w:tcPr>
            <w:tcW w:w="601"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sidRPr="00F35AA7">
              <w:rPr>
                <w:bCs/>
                <w:lang w:val="vi-VN"/>
              </w:rPr>
              <w:t xml:space="preserve">Lý thuyết </w:t>
            </w:r>
            <w:r w:rsidRPr="00F35AA7">
              <w:rPr>
                <w:bCs/>
                <w:i/>
                <w:iCs/>
                <w:lang w:val="vi-VN"/>
              </w:rPr>
              <w:t>(gi</w:t>
            </w:r>
            <w:r w:rsidRPr="00F35AA7">
              <w:rPr>
                <w:bCs/>
                <w:i/>
                <w:iCs/>
              </w:rPr>
              <w:t>ờ</w:t>
            </w:r>
            <w:r w:rsidRPr="00F35AA7">
              <w:rPr>
                <w:bCs/>
                <w:i/>
                <w:iCs/>
                <w:lang w:val="vi-VN"/>
              </w:rPr>
              <w:t>)</w:t>
            </w:r>
          </w:p>
        </w:tc>
        <w:tc>
          <w:tcPr>
            <w:tcW w:w="759" w:type="pct"/>
            <w:shd w:val="solid" w:color="FFFFFF" w:fill="auto"/>
            <w:vAlign w:val="center"/>
          </w:tcPr>
          <w:p w:rsidR="0053569F" w:rsidRPr="00F35AA7" w:rsidRDefault="0053569F" w:rsidP="0050742E">
            <w:pPr>
              <w:spacing w:before="60" w:after="60"/>
              <w:jc w:val="center"/>
            </w:pPr>
            <w:r w:rsidRPr="00F35AA7">
              <w:rPr>
                <w:bCs/>
                <w:lang w:val="vi-VN"/>
              </w:rPr>
              <w:t>Thực hành</w:t>
            </w:r>
            <w:r w:rsidRPr="00F35AA7">
              <w:rPr>
                <w:bCs/>
              </w:rPr>
              <w:t xml:space="preserve">/ thực tập/ </w:t>
            </w:r>
            <w:r>
              <w:rPr>
                <w:bCs/>
              </w:rPr>
              <w:t>KT</w:t>
            </w:r>
            <w:r w:rsidRPr="00F35AA7">
              <w:rPr>
                <w:bCs/>
                <w:lang w:val="vi-VN"/>
              </w:rPr>
              <w:t xml:space="preserve"> </w:t>
            </w:r>
            <w:r w:rsidRPr="00F35AA7">
              <w:rPr>
                <w:bCs/>
                <w:i/>
                <w:iCs/>
                <w:lang w:val="vi-VN"/>
              </w:rPr>
              <w:t>(giờ)</w:t>
            </w:r>
          </w:p>
        </w:tc>
        <w:tc>
          <w:tcPr>
            <w:tcW w:w="838" w:type="pct"/>
            <w:shd w:val="solid" w:color="FFFFFF" w:fill="auto"/>
            <w:vAlign w:val="center"/>
          </w:tcPr>
          <w:p w:rsidR="0053569F" w:rsidRPr="00334736" w:rsidRDefault="0053569F" w:rsidP="0050742E">
            <w:pPr>
              <w:spacing w:before="60" w:after="60"/>
              <w:jc w:val="center"/>
              <w:rPr>
                <w:b/>
                <w:bCs/>
                <w:sz w:val="26"/>
                <w:szCs w:val="26"/>
                <w:lang w:val="vi-VN"/>
              </w:rPr>
            </w:pPr>
            <w:r w:rsidRPr="00334736">
              <w:rPr>
                <w:b/>
                <w:bCs/>
                <w:sz w:val="26"/>
                <w:szCs w:val="26"/>
                <w:lang w:val="vi-VN"/>
              </w:rPr>
              <w:t>Định mức chi phí đào tạo</w:t>
            </w:r>
          </w:p>
        </w:tc>
      </w:tr>
      <w:tr w:rsidR="008A40C5" w:rsidRPr="003D1ECE" w:rsidTr="004F5A5A">
        <w:trPr>
          <w:trHeight w:val="461"/>
        </w:trPr>
        <w:tc>
          <w:tcPr>
            <w:tcW w:w="446" w:type="pct"/>
            <w:shd w:val="solid" w:color="FFFFFF" w:fill="auto"/>
            <w:tcMar>
              <w:top w:w="0" w:type="dxa"/>
              <w:left w:w="0" w:type="dxa"/>
              <w:bottom w:w="0" w:type="dxa"/>
              <w:right w:w="0" w:type="dxa"/>
            </w:tcMar>
            <w:vAlign w:val="center"/>
          </w:tcPr>
          <w:p w:rsidR="0053569F" w:rsidRPr="003D1ECE" w:rsidRDefault="0053569F" w:rsidP="0050742E">
            <w:pPr>
              <w:spacing w:before="60" w:after="60"/>
              <w:jc w:val="center"/>
              <w:rPr>
                <w:sz w:val="28"/>
                <w:szCs w:val="28"/>
              </w:rPr>
            </w:pPr>
            <w:r w:rsidRPr="003D1ECE">
              <w:rPr>
                <w:sz w:val="28"/>
                <w:szCs w:val="28"/>
                <w:lang w:val="vi-VN"/>
              </w:rPr>
              <w:t>1</w:t>
            </w:r>
          </w:p>
        </w:tc>
        <w:tc>
          <w:tcPr>
            <w:tcW w:w="1676"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54"/>
              <w:jc w:val="both"/>
              <w:rPr>
                <w:sz w:val="26"/>
                <w:szCs w:val="26"/>
              </w:rPr>
            </w:pPr>
            <w:r w:rsidRPr="00F35AA7">
              <w:rPr>
                <w:sz w:val="26"/>
                <w:szCs w:val="26"/>
              </w:rPr>
              <w:t>Điện Công nghiệp</w:t>
            </w:r>
          </w:p>
        </w:tc>
        <w:tc>
          <w:tcPr>
            <w:tcW w:w="680"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vi-VN"/>
              </w:rPr>
              <w:t>2.210</w:t>
            </w:r>
          </w:p>
        </w:tc>
        <w:tc>
          <w:tcPr>
            <w:tcW w:w="601" w:type="pct"/>
            <w:shd w:val="solid" w:color="FFFFFF" w:fill="auto"/>
            <w:tcMar>
              <w:top w:w="0" w:type="dxa"/>
              <w:left w:w="0" w:type="dxa"/>
              <w:bottom w:w="0" w:type="dxa"/>
              <w:right w:w="0" w:type="dxa"/>
            </w:tcMar>
            <w:vAlign w:val="center"/>
          </w:tcPr>
          <w:p w:rsidR="0053569F" w:rsidRPr="002236C9" w:rsidRDefault="0053569F" w:rsidP="0050742E">
            <w:pPr>
              <w:spacing w:before="60" w:after="60"/>
              <w:jc w:val="center"/>
              <w:rPr>
                <w:lang w:val="vi-VN"/>
              </w:rPr>
            </w:pPr>
            <w:r>
              <w:rPr>
                <w:lang w:val="vi-VN"/>
              </w:rPr>
              <w:t>822</w:t>
            </w:r>
          </w:p>
        </w:tc>
        <w:tc>
          <w:tcPr>
            <w:tcW w:w="759"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sv-SE"/>
              </w:rPr>
              <w:t>1.</w:t>
            </w:r>
            <w:r>
              <w:rPr>
                <w:color w:val="000000"/>
                <w:lang w:val="vi-VN"/>
              </w:rPr>
              <w:t>388</w:t>
            </w:r>
          </w:p>
        </w:tc>
        <w:tc>
          <w:tcPr>
            <w:tcW w:w="838"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sidRPr="00000FCB">
              <w:rPr>
                <w:color w:val="000000"/>
                <w:lang w:val="sv-SE"/>
              </w:rPr>
              <w:t>39.692</w:t>
            </w:r>
          </w:p>
        </w:tc>
      </w:tr>
      <w:tr w:rsidR="008A40C5" w:rsidRPr="003D1ECE" w:rsidTr="004F5A5A">
        <w:trPr>
          <w:trHeight w:val="615"/>
        </w:trPr>
        <w:tc>
          <w:tcPr>
            <w:tcW w:w="446" w:type="pct"/>
            <w:shd w:val="solid" w:color="FFFFFF" w:fill="auto"/>
            <w:tcMar>
              <w:top w:w="0" w:type="dxa"/>
              <w:left w:w="0" w:type="dxa"/>
              <w:bottom w:w="0" w:type="dxa"/>
              <w:right w:w="0" w:type="dxa"/>
            </w:tcMar>
          </w:tcPr>
          <w:p w:rsidR="0053569F" w:rsidRPr="00F2600B" w:rsidRDefault="0053569F" w:rsidP="0050742E">
            <w:pPr>
              <w:spacing w:before="60" w:after="60"/>
              <w:jc w:val="center"/>
              <w:rPr>
                <w:sz w:val="28"/>
                <w:szCs w:val="28"/>
              </w:rPr>
            </w:pPr>
            <w:r>
              <w:rPr>
                <w:sz w:val="28"/>
                <w:szCs w:val="28"/>
              </w:rPr>
              <w:lastRenderedPageBreak/>
              <w:t>2</w:t>
            </w:r>
          </w:p>
        </w:tc>
        <w:tc>
          <w:tcPr>
            <w:tcW w:w="1676"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54" w:right="132"/>
              <w:jc w:val="both"/>
              <w:rPr>
                <w:sz w:val="26"/>
                <w:szCs w:val="26"/>
                <w:lang w:val="nl-NL"/>
              </w:rPr>
            </w:pPr>
            <w:r w:rsidRPr="00F35AA7">
              <w:rPr>
                <w:sz w:val="26"/>
                <w:szCs w:val="26"/>
                <w:lang w:val="nl-NL"/>
              </w:rPr>
              <w:t>Kỹ thuật máy lạnh điều hòa không khí</w:t>
            </w:r>
          </w:p>
        </w:tc>
        <w:tc>
          <w:tcPr>
            <w:tcW w:w="680"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vi-VN"/>
              </w:rPr>
              <w:t>2.066</w:t>
            </w:r>
          </w:p>
        </w:tc>
        <w:tc>
          <w:tcPr>
            <w:tcW w:w="601" w:type="pct"/>
            <w:shd w:val="solid" w:color="FFFFFF" w:fill="auto"/>
            <w:tcMar>
              <w:top w:w="0" w:type="dxa"/>
              <w:left w:w="0" w:type="dxa"/>
              <w:bottom w:w="0" w:type="dxa"/>
              <w:right w:w="0" w:type="dxa"/>
            </w:tcMar>
            <w:vAlign w:val="center"/>
          </w:tcPr>
          <w:p w:rsidR="0053569F" w:rsidRPr="002A63FD" w:rsidRDefault="0053569F" w:rsidP="0050742E">
            <w:pPr>
              <w:spacing w:before="60" w:after="60"/>
              <w:jc w:val="center"/>
              <w:rPr>
                <w:lang w:val="vi-VN"/>
              </w:rPr>
            </w:pPr>
            <w:r>
              <w:rPr>
                <w:lang w:val="vi-VN"/>
              </w:rPr>
              <w:t>803</w:t>
            </w:r>
          </w:p>
        </w:tc>
        <w:tc>
          <w:tcPr>
            <w:tcW w:w="759"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sv-SE"/>
              </w:rPr>
              <w:t>1.2</w:t>
            </w:r>
            <w:r>
              <w:rPr>
                <w:color w:val="000000"/>
                <w:lang w:val="vi-VN"/>
              </w:rPr>
              <w:t>63</w:t>
            </w:r>
          </w:p>
        </w:tc>
        <w:tc>
          <w:tcPr>
            <w:tcW w:w="838"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sv-SE"/>
              </w:rPr>
              <w:t>32.685</w:t>
            </w:r>
          </w:p>
        </w:tc>
      </w:tr>
      <w:tr w:rsidR="008A40C5" w:rsidRPr="003D1ECE" w:rsidTr="004F5A5A">
        <w:trPr>
          <w:trHeight w:val="698"/>
        </w:trPr>
        <w:tc>
          <w:tcPr>
            <w:tcW w:w="446" w:type="pct"/>
            <w:shd w:val="solid" w:color="FFFFFF" w:fill="auto"/>
            <w:tcMar>
              <w:top w:w="0" w:type="dxa"/>
              <w:left w:w="0" w:type="dxa"/>
              <w:bottom w:w="0" w:type="dxa"/>
              <w:right w:w="0" w:type="dxa"/>
            </w:tcMar>
            <w:vAlign w:val="center"/>
          </w:tcPr>
          <w:p w:rsidR="0053569F" w:rsidRPr="00F2600B" w:rsidRDefault="0053569F" w:rsidP="0050742E">
            <w:pPr>
              <w:spacing w:before="60" w:after="60"/>
              <w:jc w:val="center"/>
              <w:rPr>
                <w:sz w:val="28"/>
                <w:szCs w:val="28"/>
              </w:rPr>
            </w:pPr>
            <w:r>
              <w:rPr>
                <w:sz w:val="28"/>
                <w:szCs w:val="28"/>
              </w:rPr>
              <w:t>3</w:t>
            </w:r>
          </w:p>
        </w:tc>
        <w:tc>
          <w:tcPr>
            <w:tcW w:w="1676"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54" w:right="49"/>
              <w:jc w:val="both"/>
              <w:rPr>
                <w:sz w:val="26"/>
                <w:szCs w:val="26"/>
                <w:lang w:val="nl-NL"/>
              </w:rPr>
            </w:pPr>
            <w:r w:rsidRPr="00F35AA7">
              <w:rPr>
                <w:sz w:val="26"/>
                <w:szCs w:val="26"/>
                <w:lang w:val="nl-NL"/>
              </w:rPr>
              <w:t>Vận hành máy thi công nền</w:t>
            </w:r>
          </w:p>
        </w:tc>
        <w:tc>
          <w:tcPr>
            <w:tcW w:w="680"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vi-VN"/>
              </w:rPr>
              <w:t>2.208</w:t>
            </w:r>
          </w:p>
        </w:tc>
        <w:tc>
          <w:tcPr>
            <w:tcW w:w="601" w:type="pct"/>
            <w:shd w:val="solid" w:color="FFFFFF" w:fill="auto"/>
            <w:tcMar>
              <w:top w:w="0" w:type="dxa"/>
              <w:left w:w="0" w:type="dxa"/>
              <w:bottom w:w="0" w:type="dxa"/>
              <w:right w:w="0" w:type="dxa"/>
            </w:tcMar>
            <w:vAlign w:val="center"/>
          </w:tcPr>
          <w:p w:rsidR="0053569F" w:rsidRPr="002A63FD" w:rsidRDefault="0053569F" w:rsidP="0050742E">
            <w:pPr>
              <w:spacing w:before="60" w:after="60"/>
              <w:jc w:val="center"/>
              <w:rPr>
                <w:lang w:val="vi-VN"/>
              </w:rPr>
            </w:pPr>
            <w:r>
              <w:rPr>
                <w:lang w:val="vi-VN"/>
              </w:rPr>
              <w:t>812</w:t>
            </w:r>
          </w:p>
        </w:tc>
        <w:tc>
          <w:tcPr>
            <w:tcW w:w="759"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sv-SE"/>
              </w:rPr>
              <w:t>1.</w:t>
            </w:r>
            <w:r>
              <w:rPr>
                <w:color w:val="000000"/>
                <w:lang w:val="vi-VN"/>
              </w:rPr>
              <w:t>396</w:t>
            </w:r>
          </w:p>
        </w:tc>
        <w:tc>
          <w:tcPr>
            <w:tcW w:w="838"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sv-SE"/>
              </w:rPr>
              <w:t>47.622</w:t>
            </w:r>
          </w:p>
        </w:tc>
      </w:tr>
      <w:tr w:rsidR="008A40C5" w:rsidRPr="003D1ECE" w:rsidTr="004F5A5A">
        <w:trPr>
          <w:trHeight w:val="552"/>
        </w:trPr>
        <w:tc>
          <w:tcPr>
            <w:tcW w:w="446" w:type="pct"/>
            <w:shd w:val="solid" w:color="FFFFFF" w:fill="auto"/>
            <w:tcMar>
              <w:top w:w="0" w:type="dxa"/>
              <w:left w:w="0" w:type="dxa"/>
              <w:bottom w:w="0" w:type="dxa"/>
              <w:right w:w="0" w:type="dxa"/>
            </w:tcMar>
            <w:vAlign w:val="center"/>
          </w:tcPr>
          <w:p w:rsidR="0053569F" w:rsidRDefault="0053569F" w:rsidP="0050742E">
            <w:pPr>
              <w:spacing w:before="60" w:after="60"/>
              <w:jc w:val="center"/>
              <w:rPr>
                <w:sz w:val="28"/>
                <w:szCs w:val="28"/>
              </w:rPr>
            </w:pPr>
            <w:r>
              <w:rPr>
                <w:sz w:val="28"/>
                <w:szCs w:val="28"/>
              </w:rPr>
              <w:t>4</w:t>
            </w:r>
          </w:p>
        </w:tc>
        <w:tc>
          <w:tcPr>
            <w:tcW w:w="1676"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54" w:right="49"/>
              <w:jc w:val="both"/>
              <w:rPr>
                <w:sz w:val="26"/>
                <w:szCs w:val="26"/>
                <w:lang w:val="nl-NL"/>
              </w:rPr>
            </w:pPr>
            <w:r w:rsidRPr="00F35AA7">
              <w:rPr>
                <w:sz w:val="26"/>
                <w:szCs w:val="26"/>
                <w:lang w:val="nl-NL"/>
              </w:rPr>
              <w:t>Bảo vệ thực vật</w:t>
            </w:r>
          </w:p>
        </w:tc>
        <w:tc>
          <w:tcPr>
            <w:tcW w:w="680"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vi-VN"/>
              </w:rPr>
              <w:t>2.088</w:t>
            </w:r>
          </w:p>
        </w:tc>
        <w:tc>
          <w:tcPr>
            <w:tcW w:w="601" w:type="pct"/>
            <w:shd w:val="solid" w:color="FFFFFF" w:fill="auto"/>
            <w:tcMar>
              <w:top w:w="0" w:type="dxa"/>
              <w:left w:w="0" w:type="dxa"/>
              <w:bottom w:w="0" w:type="dxa"/>
              <w:right w:w="0" w:type="dxa"/>
            </w:tcMar>
            <w:vAlign w:val="center"/>
          </w:tcPr>
          <w:p w:rsidR="0053569F" w:rsidRPr="002A63FD" w:rsidRDefault="0053569F" w:rsidP="0050742E">
            <w:pPr>
              <w:spacing w:before="60" w:after="60"/>
              <w:jc w:val="center"/>
              <w:rPr>
                <w:lang w:val="vi-VN"/>
              </w:rPr>
            </w:pPr>
            <w:r>
              <w:rPr>
                <w:lang w:val="vi-VN"/>
              </w:rPr>
              <w:t>763</w:t>
            </w:r>
          </w:p>
        </w:tc>
        <w:tc>
          <w:tcPr>
            <w:tcW w:w="759"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vi-VN"/>
              </w:rPr>
              <w:t>1325</w:t>
            </w:r>
          </w:p>
        </w:tc>
        <w:tc>
          <w:tcPr>
            <w:tcW w:w="838"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sv-SE"/>
              </w:rPr>
              <w:t>43.539</w:t>
            </w:r>
          </w:p>
        </w:tc>
      </w:tr>
      <w:tr w:rsidR="008A40C5" w:rsidRPr="003D1ECE" w:rsidTr="004F5A5A">
        <w:trPr>
          <w:trHeight w:val="573"/>
        </w:trPr>
        <w:tc>
          <w:tcPr>
            <w:tcW w:w="446" w:type="pct"/>
            <w:shd w:val="solid" w:color="FFFFFF" w:fill="auto"/>
            <w:tcMar>
              <w:top w:w="0" w:type="dxa"/>
              <w:left w:w="0" w:type="dxa"/>
              <w:bottom w:w="0" w:type="dxa"/>
              <w:right w:w="0" w:type="dxa"/>
            </w:tcMar>
            <w:vAlign w:val="center"/>
          </w:tcPr>
          <w:p w:rsidR="0053569F" w:rsidRDefault="0053569F" w:rsidP="0050742E">
            <w:pPr>
              <w:spacing w:before="60" w:after="60"/>
              <w:jc w:val="center"/>
              <w:rPr>
                <w:sz w:val="28"/>
                <w:szCs w:val="28"/>
              </w:rPr>
            </w:pPr>
            <w:r>
              <w:rPr>
                <w:sz w:val="28"/>
                <w:szCs w:val="28"/>
              </w:rPr>
              <w:t>5</w:t>
            </w:r>
          </w:p>
        </w:tc>
        <w:tc>
          <w:tcPr>
            <w:tcW w:w="1676" w:type="pct"/>
            <w:shd w:val="solid" w:color="FFFFFF" w:fill="auto"/>
            <w:tcMar>
              <w:top w:w="0" w:type="dxa"/>
              <w:left w:w="0" w:type="dxa"/>
              <w:bottom w:w="0" w:type="dxa"/>
              <w:right w:w="0" w:type="dxa"/>
            </w:tcMar>
            <w:vAlign w:val="center"/>
          </w:tcPr>
          <w:p w:rsidR="0053569F" w:rsidRPr="00F35AA7" w:rsidRDefault="0053569F" w:rsidP="0050742E">
            <w:pPr>
              <w:spacing w:before="60" w:after="60"/>
              <w:ind w:left="154"/>
              <w:jc w:val="both"/>
              <w:rPr>
                <w:sz w:val="26"/>
                <w:szCs w:val="26"/>
                <w:lang w:val="nl-NL"/>
              </w:rPr>
            </w:pPr>
            <w:r w:rsidRPr="00F35AA7">
              <w:rPr>
                <w:sz w:val="26"/>
                <w:szCs w:val="26"/>
                <w:lang w:val="nl-NL"/>
              </w:rPr>
              <w:t>Vận hành cần, cẩu trục</w:t>
            </w:r>
          </w:p>
        </w:tc>
        <w:tc>
          <w:tcPr>
            <w:tcW w:w="680" w:type="pct"/>
            <w:shd w:val="solid" w:color="FFFFFF" w:fill="auto"/>
            <w:tcMar>
              <w:top w:w="0" w:type="dxa"/>
              <w:left w:w="0" w:type="dxa"/>
              <w:bottom w:w="0" w:type="dxa"/>
              <w:right w:w="0" w:type="dxa"/>
            </w:tcMar>
            <w:vAlign w:val="center"/>
          </w:tcPr>
          <w:p w:rsidR="0053569F" w:rsidRPr="00450E2B" w:rsidRDefault="0053569F" w:rsidP="0050742E">
            <w:pPr>
              <w:spacing w:before="60" w:after="60"/>
              <w:jc w:val="center"/>
              <w:rPr>
                <w:lang w:val="vi-VN"/>
              </w:rPr>
            </w:pPr>
            <w:r>
              <w:rPr>
                <w:color w:val="000000"/>
                <w:lang w:val="vi-VN"/>
              </w:rPr>
              <w:t>2.190</w:t>
            </w:r>
          </w:p>
        </w:tc>
        <w:tc>
          <w:tcPr>
            <w:tcW w:w="601" w:type="pct"/>
            <w:shd w:val="solid" w:color="FFFFFF" w:fill="auto"/>
            <w:tcMar>
              <w:top w:w="0" w:type="dxa"/>
              <w:left w:w="0" w:type="dxa"/>
              <w:bottom w:w="0" w:type="dxa"/>
              <w:right w:w="0" w:type="dxa"/>
            </w:tcMar>
            <w:vAlign w:val="center"/>
          </w:tcPr>
          <w:p w:rsidR="0053569F" w:rsidRPr="002A63FD" w:rsidRDefault="0053569F" w:rsidP="0050742E">
            <w:pPr>
              <w:spacing w:before="60" w:after="60"/>
              <w:jc w:val="center"/>
              <w:rPr>
                <w:lang w:val="vi-VN"/>
              </w:rPr>
            </w:pPr>
            <w:r>
              <w:rPr>
                <w:lang w:val="vi-VN"/>
              </w:rPr>
              <w:t>801</w:t>
            </w:r>
          </w:p>
        </w:tc>
        <w:tc>
          <w:tcPr>
            <w:tcW w:w="759"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vi-VN"/>
              </w:rPr>
              <w:t>1.389</w:t>
            </w:r>
          </w:p>
        </w:tc>
        <w:tc>
          <w:tcPr>
            <w:tcW w:w="838" w:type="pct"/>
            <w:shd w:val="solid" w:color="FFFFFF" w:fill="auto"/>
            <w:tcMar>
              <w:top w:w="0" w:type="dxa"/>
              <w:left w:w="0" w:type="dxa"/>
              <w:bottom w:w="0" w:type="dxa"/>
              <w:right w:w="0" w:type="dxa"/>
            </w:tcMar>
            <w:vAlign w:val="center"/>
          </w:tcPr>
          <w:p w:rsidR="0053569F" w:rsidRPr="00F35AA7" w:rsidRDefault="0053569F" w:rsidP="0050742E">
            <w:pPr>
              <w:spacing w:before="60" w:after="60"/>
              <w:jc w:val="center"/>
            </w:pPr>
            <w:r>
              <w:rPr>
                <w:color w:val="000000"/>
                <w:lang w:val="sv-SE"/>
              </w:rPr>
              <w:t>45.166</w:t>
            </w:r>
          </w:p>
        </w:tc>
      </w:tr>
    </w:tbl>
    <w:p w:rsidR="00F42308" w:rsidRDefault="00F42308" w:rsidP="0050742E">
      <w:pPr>
        <w:spacing w:before="60" w:after="60"/>
        <w:ind w:firstLine="720"/>
        <w:jc w:val="both"/>
        <w:rPr>
          <w:b/>
          <w:i/>
          <w:color w:val="FF0000"/>
          <w:sz w:val="28"/>
          <w:szCs w:val="28"/>
        </w:rPr>
      </w:pPr>
      <w:r w:rsidRPr="002D4816">
        <w:rPr>
          <w:b/>
          <w:i/>
          <w:sz w:val="28"/>
          <w:szCs w:val="28"/>
        </w:rPr>
        <w:t>1</w:t>
      </w:r>
      <w:r w:rsidR="002D4816" w:rsidRPr="002D4816">
        <w:rPr>
          <w:b/>
          <w:i/>
          <w:sz w:val="28"/>
          <w:szCs w:val="28"/>
        </w:rPr>
        <w:t>5</w:t>
      </w:r>
      <w:r w:rsidRPr="002D4816">
        <w:rPr>
          <w:b/>
          <w:i/>
          <w:sz w:val="28"/>
          <w:szCs w:val="28"/>
          <w:lang w:val="vi-VN"/>
        </w:rPr>
        <w:t>. Nghị quyết quy định chính sách hỗ trợ đối với người lao động tham gia bảo hiểm xã hội tự nguyện trên địa bàn tỉnh giai đoạn 2020 -2025</w:t>
      </w:r>
      <w:r w:rsidRPr="002D4816">
        <w:rPr>
          <w:b/>
          <w:i/>
          <w:sz w:val="28"/>
          <w:szCs w:val="28"/>
        </w:rPr>
        <w:t xml:space="preserve"> </w:t>
      </w:r>
    </w:p>
    <w:p w:rsidR="00DC20EB" w:rsidRPr="00DC20EB" w:rsidRDefault="00DC20EB" w:rsidP="0050742E">
      <w:pPr>
        <w:spacing w:before="60" w:after="60"/>
        <w:ind w:firstLine="720"/>
        <w:jc w:val="both"/>
        <w:rPr>
          <w:spacing w:val="-2"/>
          <w:sz w:val="28"/>
          <w:szCs w:val="28"/>
        </w:rPr>
      </w:pPr>
      <w:r w:rsidRPr="00DC20EB">
        <w:rPr>
          <w:spacing w:val="-2"/>
          <w:sz w:val="28"/>
          <w:szCs w:val="28"/>
        </w:rPr>
        <w:t>Nhằm thực hiện đồng bộ các giải pháp để tăng nhanh số người tham gia BHXH và tỷ lệ bao phủ BHXH theo Nghị quyết số 28-NQ/TW của Ban chấp hành Trung ương Đả</w:t>
      </w:r>
      <w:bookmarkStart w:id="18" w:name="_GoBack"/>
      <w:bookmarkEnd w:id="18"/>
      <w:r w:rsidRPr="00DC20EB">
        <w:rPr>
          <w:spacing w:val="-2"/>
          <w:sz w:val="28"/>
          <w:szCs w:val="28"/>
        </w:rPr>
        <w:t>ng. Tạo điều kiện hỗ trợ cho người lao động tự do, lao động khu vực phi chính thức, nông dân được tiếp cận nhiều hơn với chính sách an sinh xã hội của Đảng và Nhà nước, đồng thời giảm áp lực sau này cho ngân sách nhà nước trong việc chi trả chế độ trợ cấp bảo trợ xã hội cho người cao tuổi không có lương hưu, góp phần đảm bảo bền vững chế độ an si</w:t>
      </w:r>
      <w:r>
        <w:rPr>
          <w:spacing w:val="-2"/>
          <w:sz w:val="28"/>
          <w:szCs w:val="28"/>
        </w:rPr>
        <w:t xml:space="preserve">nh xã hội trên địa bàn tỉnh nhà </w:t>
      </w:r>
    </w:p>
    <w:p w:rsidR="00DC20EB" w:rsidRDefault="00DC20EB" w:rsidP="0050742E">
      <w:pPr>
        <w:spacing w:before="60" w:after="60"/>
        <w:ind w:firstLine="720"/>
        <w:jc w:val="both"/>
        <w:rPr>
          <w:spacing w:val="-2"/>
          <w:sz w:val="28"/>
          <w:szCs w:val="28"/>
        </w:rPr>
      </w:pPr>
      <w:r w:rsidRPr="00F641FA">
        <w:rPr>
          <w:spacing w:val="-2"/>
          <w:sz w:val="28"/>
          <w:szCs w:val="28"/>
        </w:rPr>
        <w:t xml:space="preserve">UBND tỉnh sẽ trình HĐND </w:t>
      </w:r>
      <w:r w:rsidRPr="00382818">
        <w:rPr>
          <w:spacing w:val="-2"/>
          <w:sz w:val="28"/>
          <w:szCs w:val="28"/>
        </w:rPr>
        <w:t xml:space="preserve">tỉnh thông qua Nghị quyết </w:t>
      </w:r>
      <w:r w:rsidRPr="001F1905">
        <w:rPr>
          <w:spacing w:val="-2"/>
          <w:sz w:val="28"/>
          <w:szCs w:val="28"/>
        </w:rPr>
        <w:t xml:space="preserve">quy định </w:t>
      </w:r>
      <w:r w:rsidRPr="00DC20EB">
        <w:rPr>
          <w:spacing w:val="-2"/>
          <w:sz w:val="28"/>
          <w:szCs w:val="28"/>
        </w:rPr>
        <w:t>chính sách hỗ trợ đối với người lao động tham gia bảo hiểm xã hội tự nguyện trên địa bàn tỉnh giai đoạn 2020 -2025</w:t>
      </w:r>
      <w:r>
        <w:rPr>
          <w:spacing w:val="-2"/>
          <w:sz w:val="28"/>
          <w:szCs w:val="28"/>
        </w:rPr>
        <w:t>, với các nội dung chính như sau:</w:t>
      </w:r>
    </w:p>
    <w:p w:rsidR="00DC20EB" w:rsidRPr="00DC20EB" w:rsidRDefault="00DC20EB" w:rsidP="0050742E">
      <w:pPr>
        <w:spacing w:before="60" w:after="60"/>
        <w:ind w:firstLine="720"/>
        <w:jc w:val="both"/>
        <w:rPr>
          <w:spacing w:val="-2"/>
          <w:sz w:val="28"/>
          <w:szCs w:val="28"/>
        </w:rPr>
      </w:pPr>
      <w:r w:rsidRPr="00DC20EB">
        <w:rPr>
          <w:spacing w:val="-2"/>
          <w:sz w:val="28"/>
          <w:szCs w:val="28"/>
        </w:rPr>
        <w:t>- Hỗ trợ bằng 30% mức đóng BHXH hằng tháng theo mức chuẩn hộ nghèo khu vực nông thôn áp dụng trong thời kỳ do Thủ tướng Chính phủ quy định đối với người tham gia BHXH tự nguyện có hộ khẩu thường trú trên địa bàn tỉnh Hà Tĩnh.</w:t>
      </w:r>
    </w:p>
    <w:p w:rsidR="00DC20EB" w:rsidRPr="00DC20EB" w:rsidRDefault="00DC20EB" w:rsidP="0050742E">
      <w:pPr>
        <w:spacing w:before="60" w:after="60"/>
        <w:ind w:firstLine="720"/>
        <w:jc w:val="both"/>
        <w:rPr>
          <w:spacing w:val="-2"/>
          <w:sz w:val="28"/>
          <w:szCs w:val="28"/>
        </w:rPr>
      </w:pPr>
      <w:r w:rsidRPr="00DC20EB">
        <w:rPr>
          <w:spacing w:val="-2"/>
          <w:sz w:val="28"/>
          <w:szCs w:val="28"/>
        </w:rPr>
        <w:t>- Thời gian hỗ trợ: Theo thời gian thực tế tham gia BHXH tự nguyện của người lao động trong giai đoạn từ năm 2020 đến 2025.</w:t>
      </w:r>
    </w:p>
    <w:p w:rsidR="00DC20EB" w:rsidRPr="00DC20EB" w:rsidRDefault="00DC20EB" w:rsidP="00F42308">
      <w:pPr>
        <w:spacing w:before="120"/>
        <w:ind w:firstLine="720"/>
        <w:jc w:val="both"/>
        <w:rPr>
          <w:spacing w:val="-2"/>
          <w:sz w:val="28"/>
          <w:szCs w:val="28"/>
        </w:rPr>
      </w:pPr>
      <w:r w:rsidRPr="00DC20EB">
        <w:rPr>
          <w:spacing w:val="-2"/>
          <w:sz w:val="28"/>
          <w:szCs w:val="28"/>
        </w:rPr>
        <w:t>Nguồn kinh phí thực hiện: Bố trí từ nguồn ngân sách tỉnh giao trong dự toán ngân sách địa phương hàng năm, giai đoạn từ năm 2020 đến năm 2025.</w:t>
      </w:r>
      <w:r w:rsidR="008A40C5">
        <w:rPr>
          <w:spacing w:val="-2"/>
          <w:sz w:val="28"/>
          <w:szCs w:val="28"/>
        </w:rPr>
        <w:t>/.</w:t>
      </w:r>
      <w:r w:rsidRPr="00DC20EB">
        <w:rPr>
          <w:spacing w:val="-2"/>
          <w:sz w:val="28"/>
          <w:szCs w:val="28"/>
        </w:rPr>
        <w:t xml:space="preserve"> </w:t>
      </w:r>
    </w:p>
    <w:p w:rsidR="00C631CF" w:rsidRPr="006E46D7" w:rsidRDefault="008A40C5" w:rsidP="00146F89">
      <w:pPr>
        <w:spacing w:before="120"/>
        <w:ind w:firstLine="720"/>
        <w:jc w:val="center"/>
        <w:rPr>
          <w:b/>
          <w:sz w:val="28"/>
          <w:szCs w:val="28"/>
        </w:rPr>
      </w:pPr>
      <w:r>
        <w:rPr>
          <w:b/>
          <w:sz w:val="28"/>
          <w:szCs w:val="28"/>
        </w:rPr>
        <w:t xml:space="preserve">                                                        </w:t>
      </w:r>
      <w:r w:rsidRPr="006E46D7">
        <w:rPr>
          <w:b/>
          <w:sz w:val="28"/>
          <w:szCs w:val="28"/>
        </w:rPr>
        <w:t>UỶ BAN NHÂN DÂN TỈNH</w:t>
      </w:r>
      <w:r>
        <w:rPr>
          <w:b/>
          <w:sz w:val="28"/>
          <w:szCs w:val="28"/>
        </w:rPr>
        <w:t xml:space="preserve"> </w:t>
      </w:r>
      <w:r w:rsidR="00C631CF" w:rsidRPr="006E46D7">
        <w:rPr>
          <w:b/>
          <w:sz w:val="28"/>
          <w:szCs w:val="28"/>
        </w:rPr>
        <w:t xml:space="preserve">                     </w:t>
      </w:r>
      <w:r w:rsidR="00906D52" w:rsidRPr="006E46D7">
        <w:rPr>
          <w:b/>
          <w:sz w:val="28"/>
          <w:szCs w:val="28"/>
        </w:rPr>
        <w:t xml:space="preserve">                          </w:t>
      </w:r>
      <w:r w:rsidR="0024399D" w:rsidRPr="006E46D7">
        <w:rPr>
          <w:b/>
          <w:sz w:val="28"/>
          <w:szCs w:val="28"/>
        </w:rPr>
        <w:t xml:space="preserve">                </w:t>
      </w:r>
    </w:p>
    <w:p w:rsidR="00C631CF" w:rsidRPr="00D25C8E" w:rsidRDefault="00C631CF" w:rsidP="000E6DF7">
      <w:pPr>
        <w:spacing w:after="60"/>
        <w:ind w:firstLine="720"/>
        <w:jc w:val="both"/>
        <w:rPr>
          <w:color w:val="FF0000"/>
          <w:sz w:val="28"/>
          <w:szCs w:val="28"/>
          <w:lang w:val="nb-NO"/>
        </w:rPr>
      </w:pPr>
    </w:p>
    <w:p w:rsidR="00A73FF2" w:rsidRPr="00D25C8E" w:rsidRDefault="00A73FF2" w:rsidP="00A73FF2">
      <w:pPr>
        <w:spacing w:before="40"/>
        <w:ind w:firstLine="720"/>
        <w:jc w:val="both"/>
        <w:rPr>
          <w:color w:val="FF0000"/>
          <w:sz w:val="10"/>
          <w:szCs w:val="28"/>
          <w:lang w:val="nb-NO"/>
        </w:rPr>
      </w:pPr>
    </w:p>
    <w:p w:rsidR="008601E7" w:rsidRPr="00D25C8E" w:rsidRDefault="008601E7" w:rsidP="00A73FF2">
      <w:pPr>
        <w:spacing w:before="40"/>
        <w:ind w:firstLine="720"/>
        <w:jc w:val="both"/>
        <w:rPr>
          <w:color w:val="FF0000"/>
          <w:sz w:val="3"/>
          <w:szCs w:val="17"/>
          <w:lang w:val="nb-NO"/>
        </w:rPr>
      </w:pPr>
    </w:p>
    <w:p w:rsidR="0035127A" w:rsidRPr="00D25C8E" w:rsidRDefault="0035127A" w:rsidP="00A51278">
      <w:pPr>
        <w:ind w:firstLine="720"/>
        <w:rPr>
          <w:color w:val="FF0000"/>
        </w:rPr>
      </w:pPr>
    </w:p>
    <w:p w:rsidR="00831006" w:rsidRPr="00D25C8E" w:rsidRDefault="00831006">
      <w:pPr>
        <w:ind w:firstLine="720"/>
        <w:rPr>
          <w:color w:val="FF0000"/>
        </w:rPr>
      </w:pPr>
    </w:p>
    <w:sectPr w:rsidR="00831006" w:rsidRPr="00D25C8E" w:rsidSect="002001D1">
      <w:footerReference w:type="even" r:id="rId9"/>
      <w:footerReference w:type="default" r:id="rId10"/>
      <w:pgSz w:w="11907" w:h="16840" w:code="9"/>
      <w:pgMar w:top="1134" w:right="1134" w:bottom="1134" w:left="1701" w:header="720" w:footer="8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AC3" w:rsidRDefault="00BD4AC3">
      <w:r>
        <w:separator/>
      </w:r>
    </w:p>
  </w:endnote>
  <w:endnote w:type="continuationSeparator" w:id="0">
    <w:p w:rsidR="00BD4AC3" w:rsidRDefault="00B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Lucida Grande">
    <w:altName w:val="Arial"/>
    <w:charset w:val="00"/>
    <w:family w:val="auto"/>
    <w:pitch w:val="variable"/>
    <w:sig w:usb0="00000000" w:usb1="5000A1FF" w:usb2="00000000" w:usb3="00000000" w:csb0="000001BF" w:csb1="00000000"/>
  </w:font>
  <w:font w:name=".VnTime">
    <w:panose1 w:val="020B7200000000000000"/>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1F" w:rsidRDefault="00C17E18" w:rsidP="00BF5FA6">
    <w:pPr>
      <w:pStyle w:val="Footer"/>
      <w:framePr w:wrap="around" w:vAnchor="text" w:hAnchor="margin" w:xAlign="right" w:y="1"/>
      <w:rPr>
        <w:rStyle w:val="PageNumber"/>
      </w:rPr>
    </w:pPr>
    <w:r>
      <w:rPr>
        <w:rStyle w:val="PageNumber"/>
      </w:rPr>
      <w:fldChar w:fldCharType="begin"/>
    </w:r>
    <w:r w:rsidR="00AD631F">
      <w:rPr>
        <w:rStyle w:val="PageNumber"/>
      </w:rPr>
      <w:instrText xml:space="preserve">PAGE  </w:instrText>
    </w:r>
    <w:r>
      <w:rPr>
        <w:rStyle w:val="PageNumber"/>
      </w:rPr>
      <w:fldChar w:fldCharType="end"/>
    </w:r>
  </w:p>
  <w:p w:rsidR="00AD631F" w:rsidRDefault="00AD631F" w:rsidP="00134D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1F" w:rsidRDefault="00C17E18" w:rsidP="00BF5FA6">
    <w:pPr>
      <w:pStyle w:val="Footer"/>
      <w:framePr w:wrap="around" w:vAnchor="text" w:hAnchor="margin" w:xAlign="right" w:y="1"/>
      <w:rPr>
        <w:rStyle w:val="PageNumber"/>
      </w:rPr>
    </w:pPr>
    <w:r>
      <w:rPr>
        <w:rStyle w:val="PageNumber"/>
      </w:rPr>
      <w:fldChar w:fldCharType="begin"/>
    </w:r>
    <w:r w:rsidR="00AD631F">
      <w:rPr>
        <w:rStyle w:val="PageNumber"/>
      </w:rPr>
      <w:instrText xml:space="preserve">PAGE  </w:instrText>
    </w:r>
    <w:r>
      <w:rPr>
        <w:rStyle w:val="PageNumber"/>
      </w:rPr>
      <w:fldChar w:fldCharType="separate"/>
    </w:r>
    <w:r w:rsidR="0074755C">
      <w:rPr>
        <w:rStyle w:val="PageNumber"/>
        <w:noProof/>
      </w:rPr>
      <w:t>9</w:t>
    </w:r>
    <w:r>
      <w:rPr>
        <w:rStyle w:val="PageNumber"/>
      </w:rPr>
      <w:fldChar w:fldCharType="end"/>
    </w:r>
  </w:p>
  <w:p w:rsidR="00AD631F" w:rsidRDefault="00AD631F" w:rsidP="00134D8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AC3" w:rsidRDefault="00BD4AC3">
      <w:r>
        <w:separator/>
      </w:r>
    </w:p>
  </w:footnote>
  <w:footnote w:type="continuationSeparator" w:id="0">
    <w:p w:rsidR="00BD4AC3" w:rsidRDefault="00BD4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C42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7F6179"/>
    <w:multiLevelType w:val="hybridMultilevel"/>
    <w:tmpl w:val="CC4C1C6A"/>
    <w:lvl w:ilvl="0" w:tplc="189EE1EC">
      <w:start w:val="11"/>
      <w:numFmt w:val="bullet"/>
      <w:lvlText w:val="-"/>
      <w:lvlJc w:val="left"/>
      <w:pPr>
        <w:ind w:left="2820" w:hanging="360"/>
      </w:pPr>
      <w:rPr>
        <w:rFonts w:ascii="Times New Roman" w:eastAsia="Times New Roman" w:hAnsi="Times New Roman" w:cs="Times New Roman"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3" w15:restartNumberingAfterBreak="0">
    <w:nsid w:val="16DF17DA"/>
    <w:multiLevelType w:val="multilevel"/>
    <w:tmpl w:val="5D620B98"/>
    <w:lvl w:ilvl="0">
      <w:start w:val="1"/>
      <w:numFmt w:val="decimal"/>
      <w:pStyle w:val="Heading1"/>
      <w:suff w:val="nothing"/>
      <w:lvlText w:val="%1."/>
      <w:lvlJc w:val="left"/>
      <w:pPr>
        <w:ind w:left="1779" w:hanging="360"/>
      </w:pPr>
      <w:rPr>
        <w:rFonts w:hint="default"/>
      </w:rPr>
    </w:lvl>
    <w:lvl w:ilvl="1">
      <w:start w:val="1"/>
      <w:numFmt w:val="decimal"/>
      <w:pStyle w:val="Heading2"/>
      <w:suff w:val="space"/>
      <w:lvlText w:val="%1.%2. "/>
      <w:lvlJc w:val="left"/>
      <w:pPr>
        <w:ind w:left="502" w:hanging="360"/>
      </w:pPr>
      <w:rPr>
        <w:rFonts w:hint="default"/>
      </w:rPr>
    </w:lvl>
    <w:lvl w:ilvl="2">
      <w:start w:val="1"/>
      <w:numFmt w:val="decimal"/>
      <w:pStyle w:val="Heading3"/>
      <w:lvlText w:val="%2.%3. "/>
      <w:lvlJc w:val="right"/>
      <w:pPr>
        <w:ind w:left="2439" w:hanging="454"/>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A8643FA"/>
    <w:multiLevelType w:val="multilevel"/>
    <w:tmpl w:val="0A944B72"/>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2B6534C"/>
    <w:multiLevelType w:val="hybridMultilevel"/>
    <w:tmpl w:val="1E82B3D0"/>
    <w:lvl w:ilvl="0" w:tplc="AD38BFC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C428E6"/>
    <w:multiLevelType w:val="hybridMultilevel"/>
    <w:tmpl w:val="E93EB616"/>
    <w:lvl w:ilvl="0" w:tplc="48A40C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1A0C8B"/>
    <w:multiLevelType w:val="hybridMultilevel"/>
    <w:tmpl w:val="C682E41A"/>
    <w:lvl w:ilvl="0" w:tplc="3ADC64F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164B66"/>
    <w:multiLevelType w:val="hybridMultilevel"/>
    <w:tmpl w:val="9FD2D74C"/>
    <w:lvl w:ilvl="0" w:tplc="F3EAF5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87133D"/>
    <w:multiLevelType w:val="hybridMultilevel"/>
    <w:tmpl w:val="667899E8"/>
    <w:lvl w:ilvl="0" w:tplc="995281B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C7223"/>
    <w:multiLevelType w:val="hybridMultilevel"/>
    <w:tmpl w:val="1D4EA9B6"/>
    <w:lvl w:ilvl="0" w:tplc="86A8498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44B"/>
    <w:multiLevelType w:val="hybridMultilevel"/>
    <w:tmpl w:val="A3323912"/>
    <w:lvl w:ilvl="0" w:tplc="02861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B54E4A"/>
    <w:multiLevelType w:val="hybridMultilevel"/>
    <w:tmpl w:val="04E8A9B6"/>
    <w:lvl w:ilvl="0" w:tplc="7390D578">
      <w:start w:val="6"/>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68FC582D"/>
    <w:multiLevelType w:val="hybridMultilevel"/>
    <w:tmpl w:val="AF2E192E"/>
    <w:lvl w:ilvl="0" w:tplc="30545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B6180"/>
    <w:multiLevelType w:val="hybridMultilevel"/>
    <w:tmpl w:val="E71250E8"/>
    <w:lvl w:ilvl="0" w:tplc="54860E5A">
      <w:start w:val="4"/>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num w:numId="1">
    <w:abstractNumId w:val="12"/>
  </w:num>
  <w:num w:numId="2">
    <w:abstractNumId w:val="5"/>
  </w:num>
  <w:num w:numId="3">
    <w:abstractNumId w:val="7"/>
  </w:num>
  <w:num w:numId="4">
    <w:abstractNumId w:val="10"/>
  </w:num>
  <w:num w:numId="5">
    <w:abstractNumId w:val="9"/>
  </w:num>
  <w:num w:numId="6">
    <w:abstractNumId w:val="14"/>
  </w:num>
  <w:num w:numId="7">
    <w:abstractNumId w:val="0"/>
  </w:num>
  <w:num w:numId="8">
    <w:abstractNumId w:val="1"/>
  </w:num>
  <w:num w:numId="9">
    <w:abstractNumId w:val="4"/>
  </w:num>
  <w:num w:numId="10">
    <w:abstractNumId w:val="2"/>
  </w:num>
  <w:num w:numId="11">
    <w:abstractNumId w:val="8"/>
  </w:num>
  <w:num w:numId="12">
    <w:abstractNumId w:val="11"/>
  </w:num>
  <w:num w:numId="13">
    <w:abstractNumId w:val="3"/>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E2"/>
    <w:rsid w:val="00000233"/>
    <w:rsid w:val="00002AC8"/>
    <w:rsid w:val="000037D8"/>
    <w:rsid w:val="00004DA5"/>
    <w:rsid w:val="00010217"/>
    <w:rsid w:val="00010C51"/>
    <w:rsid w:val="00017E4E"/>
    <w:rsid w:val="00020667"/>
    <w:rsid w:val="00024959"/>
    <w:rsid w:val="00025039"/>
    <w:rsid w:val="0003064F"/>
    <w:rsid w:val="00031754"/>
    <w:rsid w:val="000355AB"/>
    <w:rsid w:val="00040CB6"/>
    <w:rsid w:val="00042C47"/>
    <w:rsid w:val="00044210"/>
    <w:rsid w:val="00047BE1"/>
    <w:rsid w:val="0005038D"/>
    <w:rsid w:val="00056372"/>
    <w:rsid w:val="00061B2A"/>
    <w:rsid w:val="000711A8"/>
    <w:rsid w:val="0007377B"/>
    <w:rsid w:val="00074A3D"/>
    <w:rsid w:val="000762FC"/>
    <w:rsid w:val="00081C8E"/>
    <w:rsid w:val="00093606"/>
    <w:rsid w:val="00096B09"/>
    <w:rsid w:val="000A082A"/>
    <w:rsid w:val="000A3F83"/>
    <w:rsid w:val="000C2AC6"/>
    <w:rsid w:val="000C39CE"/>
    <w:rsid w:val="000C604E"/>
    <w:rsid w:val="000D3574"/>
    <w:rsid w:val="000E0317"/>
    <w:rsid w:val="000E1969"/>
    <w:rsid w:val="000E28F4"/>
    <w:rsid w:val="000E29A2"/>
    <w:rsid w:val="000E6054"/>
    <w:rsid w:val="000E610E"/>
    <w:rsid w:val="000E623B"/>
    <w:rsid w:val="000E6320"/>
    <w:rsid w:val="000E6DF7"/>
    <w:rsid w:val="000F0ACF"/>
    <w:rsid w:val="000F7370"/>
    <w:rsid w:val="00102431"/>
    <w:rsid w:val="00104EE3"/>
    <w:rsid w:val="00106B54"/>
    <w:rsid w:val="00111870"/>
    <w:rsid w:val="001152DE"/>
    <w:rsid w:val="001176D7"/>
    <w:rsid w:val="00125AAF"/>
    <w:rsid w:val="00125F6E"/>
    <w:rsid w:val="00130B0A"/>
    <w:rsid w:val="00131B01"/>
    <w:rsid w:val="00131F2D"/>
    <w:rsid w:val="00134D87"/>
    <w:rsid w:val="00135E89"/>
    <w:rsid w:val="00143769"/>
    <w:rsid w:val="00145CD7"/>
    <w:rsid w:val="00146F89"/>
    <w:rsid w:val="001527C7"/>
    <w:rsid w:val="00153D00"/>
    <w:rsid w:val="00156333"/>
    <w:rsid w:val="001565A8"/>
    <w:rsid w:val="00163E7F"/>
    <w:rsid w:val="00174A17"/>
    <w:rsid w:val="00182CFB"/>
    <w:rsid w:val="00190317"/>
    <w:rsid w:val="00192B28"/>
    <w:rsid w:val="001934E2"/>
    <w:rsid w:val="00193750"/>
    <w:rsid w:val="00193A5A"/>
    <w:rsid w:val="00193DE4"/>
    <w:rsid w:val="00194DB6"/>
    <w:rsid w:val="001962ED"/>
    <w:rsid w:val="001975FE"/>
    <w:rsid w:val="001A0210"/>
    <w:rsid w:val="001A056E"/>
    <w:rsid w:val="001A1EC3"/>
    <w:rsid w:val="001A4069"/>
    <w:rsid w:val="001C6AD5"/>
    <w:rsid w:val="001D05FA"/>
    <w:rsid w:val="001D0B33"/>
    <w:rsid w:val="001D4230"/>
    <w:rsid w:val="001D6024"/>
    <w:rsid w:val="001E1DEE"/>
    <w:rsid w:val="001E3A58"/>
    <w:rsid w:val="001E467F"/>
    <w:rsid w:val="001F1905"/>
    <w:rsid w:val="001F59E5"/>
    <w:rsid w:val="001F6ACA"/>
    <w:rsid w:val="001F7514"/>
    <w:rsid w:val="002001D1"/>
    <w:rsid w:val="00200D64"/>
    <w:rsid w:val="002033A5"/>
    <w:rsid w:val="00216423"/>
    <w:rsid w:val="00217F96"/>
    <w:rsid w:val="00220D1D"/>
    <w:rsid w:val="00221065"/>
    <w:rsid w:val="00222E79"/>
    <w:rsid w:val="00226BC3"/>
    <w:rsid w:val="00227193"/>
    <w:rsid w:val="002317EB"/>
    <w:rsid w:val="00231ABA"/>
    <w:rsid w:val="00233B17"/>
    <w:rsid w:val="0024344C"/>
    <w:rsid w:val="0024399D"/>
    <w:rsid w:val="00244192"/>
    <w:rsid w:val="00244529"/>
    <w:rsid w:val="0025026F"/>
    <w:rsid w:val="002521C0"/>
    <w:rsid w:val="002538AB"/>
    <w:rsid w:val="0025668C"/>
    <w:rsid w:val="002661B6"/>
    <w:rsid w:val="002678D0"/>
    <w:rsid w:val="00271BD1"/>
    <w:rsid w:val="002722FF"/>
    <w:rsid w:val="002801C9"/>
    <w:rsid w:val="00281191"/>
    <w:rsid w:val="00281A1B"/>
    <w:rsid w:val="00290DD3"/>
    <w:rsid w:val="00291CC7"/>
    <w:rsid w:val="002A4C54"/>
    <w:rsid w:val="002A7B77"/>
    <w:rsid w:val="002B3057"/>
    <w:rsid w:val="002B47CF"/>
    <w:rsid w:val="002B7B3B"/>
    <w:rsid w:val="002C0369"/>
    <w:rsid w:val="002C412D"/>
    <w:rsid w:val="002C603D"/>
    <w:rsid w:val="002C61A0"/>
    <w:rsid w:val="002C66F4"/>
    <w:rsid w:val="002D09E9"/>
    <w:rsid w:val="002D0E65"/>
    <w:rsid w:val="002D34C6"/>
    <w:rsid w:val="002D4816"/>
    <w:rsid w:val="002E3116"/>
    <w:rsid w:val="002E3AB8"/>
    <w:rsid w:val="002E4F12"/>
    <w:rsid w:val="002E6E8D"/>
    <w:rsid w:val="002F177B"/>
    <w:rsid w:val="002F38AC"/>
    <w:rsid w:val="002F413F"/>
    <w:rsid w:val="002F48DC"/>
    <w:rsid w:val="002F4C3D"/>
    <w:rsid w:val="002F570D"/>
    <w:rsid w:val="002F63CF"/>
    <w:rsid w:val="002F79CA"/>
    <w:rsid w:val="00303F7D"/>
    <w:rsid w:val="00305B2A"/>
    <w:rsid w:val="00307CC1"/>
    <w:rsid w:val="003106D8"/>
    <w:rsid w:val="00311109"/>
    <w:rsid w:val="003125FF"/>
    <w:rsid w:val="00312F19"/>
    <w:rsid w:val="00314F61"/>
    <w:rsid w:val="0031564E"/>
    <w:rsid w:val="003166F4"/>
    <w:rsid w:val="00317362"/>
    <w:rsid w:val="00323135"/>
    <w:rsid w:val="00323156"/>
    <w:rsid w:val="00323C16"/>
    <w:rsid w:val="003300F4"/>
    <w:rsid w:val="00330467"/>
    <w:rsid w:val="003304DB"/>
    <w:rsid w:val="003316A8"/>
    <w:rsid w:val="00333835"/>
    <w:rsid w:val="003405A9"/>
    <w:rsid w:val="00340700"/>
    <w:rsid w:val="00341E63"/>
    <w:rsid w:val="00343DA3"/>
    <w:rsid w:val="0035127A"/>
    <w:rsid w:val="00351B93"/>
    <w:rsid w:val="003528CB"/>
    <w:rsid w:val="0035391E"/>
    <w:rsid w:val="003539FF"/>
    <w:rsid w:val="00354BDE"/>
    <w:rsid w:val="00357E00"/>
    <w:rsid w:val="00357F1B"/>
    <w:rsid w:val="00361BB5"/>
    <w:rsid w:val="00362705"/>
    <w:rsid w:val="00362C89"/>
    <w:rsid w:val="00365712"/>
    <w:rsid w:val="003708D1"/>
    <w:rsid w:val="00370AE4"/>
    <w:rsid w:val="00375700"/>
    <w:rsid w:val="0037615C"/>
    <w:rsid w:val="003778AC"/>
    <w:rsid w:val="00377EE3"/>
    <w:rsid w:val="003806A1"/>
    <w:rsid w:val="00382818"/>
    <w:rsid w:val="00384602"/>
    <w:rsid w:val="003849D5"/>
    <w:rsid w:val="00385CEE"/>
    <w:rsid w:val="00393EAC"/>
    <w:rsid w:val="00394A81"/>
    <w:rsid w:val="003A06FA"/>
    <w:rsid w:val="003B17EC"/>
    <w:rsid w:val="003B23FA"/>
    <w:rsid w:val="003C0060"/>
    <w:rsid w:val="003C074F"/>
    <w:rsid w:val="003C530E"/>
    <w:rsid w:val="003D16E8"/>
    <w:rsid w:val="003D233B"/>
    <w:rsid w:val="003D45F8"/>
    <w:rsid w:val="003D6582"/>
    <w:rsid w:val="003D658D"/>
    <w:rsid w:val="003D7CA3"/>
    <w:rsid w:val="003E15A8"/>
    <w:rsid w:val="003E26BE"/>
    <w:rsid w:val="003E301F"/>
    <w:rsid w:val="003E65CE"/>
    <w:rsid w:val="003E6728"/>
    <w:rsid w:val="003E700D"/>
    <w:rsid w:val="003F4D49"/>
    <w:rsid w:val="00401D7F"/>
    <w:rsid w:val="00402001"/>
    <w:rsid w:val="00403E74"/>
    <w:rsid w:val="00415D0F"/>
    <w:rsid w:val="00417CAB"/>
    <w:rsid w:val="00423263"/>
    <w:rsid w:val="00427AC1"/>
    <w:rsid w:val="004330C5"/>
    <w:rsid w:val="00433E44"/>
    <w:rsid w:val="00436698"/>
    <w:rsid w:val="004422E3"/>
    <w:rsid w:val="00443600"/>
    <w:rsid w:val="00445A05"/>
    <w:rsid w:val="00455511"/>
    <w:rsid w:val="0045769F"/>
    <w:rsid w:val="004678DF"/>
    <w:rsid w:val="00467CFC"/>
    <w:rsid w:val="00471467"/>
    <w:rsid w:val="00473849"/>
    <w:rsid w:val="00475E4C"/>
    <w:rsid w:val="004807F3"/>
    <w:rsid w:val="004838F6"/>
    <w:rsid w:val="00483D00"/>
    <w:rsid w:val="004853E3"/>
    <w:rsid w:val="00487072"/>
    <w:rsid w:val="00491CA9"/>
    <w:rsid w:val="00492C68"/>
    <w:rsid w:val="00493857"/>
    <w:rsid w:val="00497A2D"/>
    <w:rsid w:val="004A2A94"/>
    <w:rsid w:val="004A4907"/>
    <w:rsid w:val="004A6EA4"/>
    <w:rsid w:val="004A7F8D"/>
    <w:rsid w:val="004B51EA"/>
    <w:rsid w:val="004C1695"/>
    <w:rsid w:val="004D08C9"/>
    <w:rsid w:val="004D2F48"/>
    <w:rsid w:val="004E0643"/>
    <w:rsid w:val="004E412A"/>
    <w:rsid w:val="004F13CE"/>
    <w:rsid w:val="004F18D9"/>
    <w:rsid w:val="004F1A8A"/>
    <w:rsid w:val="004F5A5A"/>
    <w:rsid w:val="004F7BBD"/>
    <w:rsid w:val="0050165D"/>
    <w:rsid w:val="00501FC8"/>
    <w:rsid w:val="00502281"/>
    <w:rsid w:val="005037E0"/>
    <w:rsid w:val="00506A0F"/>
    <w:rsid w:val="0050742E"/>
    <w:rsid w:val="00512B3B"/>
    <w:rsid w:val="00514EE5"/>
    <w:rsid w:val="0052361E"/>
    <w:rsid w:val="00525643"/>
    <w:rsid w:val="00526716"/>
    <w:rsid w:val="005303F9"/>
    <w:rsid w:val="00531241"/>
    <w:rsid w:val="005345F2"/>
    <w:rsid w:val="0053569F"/>
    <w:rsid w:val="00535956"/>
    <w:rsid w:val="005411A6"/>
    <w:rsid w:val="005450DA"/>
    <w:rsid w:val="00550267"/>
    <w:rsid w:val="005527C8"/>
    <w:rsid w:val="005533FF"/>
    <w:rsid w:val="0056171C"/>
    <w:rsid w:val="005618C5"/>
    <w:rsid w:val="00563589"/>
    <w:rsid w:val="00564AFE"/>
    <w:rsid w:val="00571258"/>
    <w:rsid w:val="00572DD3"/>
    <w:rsid w:val="005734A5"/>
    <w:rsid w:val="00577A06"/>
    <w:rsid w:val="00580700"/>
    <w:rsid w:val="005827B8"/>
    <w:rsid w:val="0058353A"/>
    <w:rsid w:val="0058538B"/>
    <w:rsid w:val="00585855"/>
    <w:rsid w:val="00590A3E"/>
    <w:rsid w:val="005925A1"/>
    <w:rsid w:val="005A29C3"/>
    <w:rsid w:val="005A78FB"/>
    <w:rsid w:val="005B605A"/>
    <w:rsid w:val="005C2751"/>
    <w:rsid w:val="005C30F7"/>
    <w:rsid w:val="005C55ED"/>
    <w:rsid w:val="005D40F4"/>
    <w:rsid w:val="005D50AF"/>
    <w:rsid w:val="005D609B"/>
    <w:rsid w:val="005D6AC7"/>
    <w:rsid w:val="005E0E08"/>
    <w:rsid w:val="005E1947"/>
    <w:rsid w:val="005E2872"/>
    <w:rsid w:val="005E5823"/>
    <w:rsid w:val="005F2840"/>
    <w:rsid w:val="00612FCB"/>
    <w:rsid w:val="00623626"/>
    <w:rsid w:val="006276D9"/>
    <w:rsid w:val="006321FC"/>
    <w:rsid w:val="00633170"/>
    <w:rsid w:val="0063512B"/>
    <w:rsid w:val="00644A3D"/>
    <w:rsid w:val="006532D9"/>
    <w:rsid w:val="00653497"/>
    <w:rsid w:val="00655F8D"/>
    <w:rsid w:val="006600C6"/>
    <w:rsid w:val="00663095"/>
    <w:rsid w:val="0066669C"/>
    <w:rsid w:val="00667BBB"/>
    <w:rsid w:val="006701F9"/>
    <w:rsid w:val="0067094E"/>
    <w:rsid w:val="006722B7"/>
    <w:rsid w:val="006743D9"/>
    <w:rsid w:val="006746A5"/>
    <w:rsid w:val="00676096"/>
    <w:rsid w:val="006970DB"/>
    <w:rsid w:val="006A34AB"/>
    <w:rsid w:val="006A4629"/>
    <w:rsid w:val="006A73DF"/>
    <w:rsid w:val="006B2619"/>
    <w:rsid w:val="006C09A3"/>
    <w:rsid w:val="006D58CD"/>
    <w:rsid w:val="006D6878"/>
    <w:rsid w:val="006D7534"/>
    <w:rsid w:val="006D754B"/>
    <w:rsid w:val="006E0451"/>
    <w:rsid w:val="006E0A03"/>
    <w:rsid w:val="006E16A0"/>
    <w:rsid w:val="006E46D7"/>
    <w:rsid w:val="006F0131"/>
    <w:rsid w:val="007000CF"/>
    <w:rsid w:val="00704E7C"/>
    <w:rsid w:val="007056B4"/>
    <w:rsid w:val="0070718A"/>
    <w:rsid w:val="00715E48"/>
    <w:rsid w:val="0073034D"/>
    <w:rsid w:val="007336B5"/>
    <w:rsid w:val="00733A5D"/>
    <w:rsid w:val="0073676E"/>
    <w:rsid w:val="0074755C"/>
    <w:rsid w:val="00750321"/>
    <w:rsid w:val="00757870"/>
    <w:rsid w:val="00761B2F"/>
    <w:rsid w:val="0077185A"/>
    <w:rsid w:val="007775F6"/>
    <w:rsid w:val="00780A8D"/>
    <w:rsid w:val="0078135A"/>
    <w:rsid w:val="00782F7B"/>
    <w:rsid w:val="00784414"/>
    <w:rsid w:val="00784496"/>
    <w:rsid w:val="00792FC9"/>
    <w:rsid w:val="00793DCA"/>
    <w:rsid w:val="00794268"/>
    <w:rsid w:val="007A0B9E"/>
    <w:rsid w:val="007A212D"/>
    <w:rsid w:val="007A232F"/>
    <w:rsid w:val="007A44DC"/>
    <w:rsid w:val="007B6310"/>
    <w:rsid w:val="007C009B"/>
    <w:rsid w:val="007C3AAB"/>
    <w:rsid w:val="007C4D56"/>
    <w:rsid w:val="007D3046"/>
    <w:rsid w:val="007E0E82"/>
    <w:rsid w:val="007E1036"/>
    <w:rsid w:val="007E7044"/>
    <w:rsid w:val="007F0AB3"/>
    <w:rsid w:val="007F6794"/>
    <w:rsid w:val="00802F3E"/>
    <w:rsid w:val="0080308A"/>
    <w:rsid w:val="00806FB7"/>
    <w:rsid w:val="008075FE"/>
    <w:rsid w:val="0081349F"/>
    <w:rsid w:val="0081590E"/>
    <w:rsid w:val="00820F8D"/>
    <w:rsid w:val="00824279"/>
    <w:rsid w:val="008245EE"/>
    <w:rsid w:val="008258FF"/>
    <w:rsid w:val="0082640C"/>
    <w:rsid w:val="00831006"/>
    <w:rsid w:val="0083312A"/>
    <w:rsid w:val="00833C18"/>
    <w:rsid w:val="0083400A"/>
    <w:rsid w:val="00834E3E"/>
    <w:rsid w:val="00836653"/>
    <w:rsid w:val="00840E03"/>
    <w:rsid w:val="00842BF4"/>
    <w:rsid w:val="00843B7A"/>
    <w:rsid w:val="0084470F"/>
    <w:rsid w:val="00844C1F"/>
    <w:rsid w:val="008509D1"/>
    <w:rsid w:val="00851498"/>
    <w:rsid w:val="00856919"/>
    <w:rsid w:val="008601E7"/>
    <w:rsid w:val="0086469C"/>
    <w:rsid w:val="008655DF"/>
    <w:rsid w:val="008675EF"/>
    <w:rsid w:val="0087183C"/>
    <w:rsid w:val="008722AC"/>
    <w:rsid w:val="00873E34"/>
    <w:rsid w:val="008758F2"/>
    <w:rsid w:val="00876523"/>
    <w:rsid w:val="008819B5"/>
    <w:rsid w:val="0088594E"/>
    <w:rsid w:val="00886667"/>
    <w:rsid w:val="00887539"/>
    <w:rsid w:val="00891D69"/>
    <w:rsid w:val="008954F3"/>
    <w:rsid w:val="008A0B2E"/>
    <w:rsid w:val="008A1571"/>
    <w:rsid w:val="008A25C0"/>
    <w:rsid w:val="008A3399"/>
    <w:rsid w:val="008A3E2C"/>
    <w:rsid w:val="008A40C5"/>
    <w:rsid w:val="008A6577"/>
    <w:rsid w:val="008B2972"/>
    <w:rsid w:val="008B2D0B"/>
    <w:rsid w:val="008C0160"/>
    <w:rsid w:val="008D031E"/>
    <w:rsid w:val="008D30DC"/>
    <w:rsid w:val="008F1879"/>
    <w:rsid w:val="008F1F82"/>
    <w:rsid w:val="008F6F6B"/>
    <w:rsid w:val="00901FA6"/>
    <w:rsid w:val="00904ADB"/>
    <w:rsid w:val="00905AF9"/>
    <w:rsid w:val="00906D52"/>
    <w:rsid w:val="00910C9F"/>
    <w:rsid w:val="00920579"/>
    <w:rsid w:val="009206AC"/>
    <w:rsid w:val="00924E61"/>
    <w:rsid w:val="00926F70"/>
    <w:rsid w:val="00935CFD"/>
    <w:rsid w:val="00942286"/>
    <w:rsid w:val="00942929"/>
    <w:rsid w:val="00942948"/>
    <w:rsid w:val="00946FD1"/>
    <w:rsid w:val="0095066B"/>
    <w:rsid w:val="0095116C"/>
    <w:rsid w:val="0095345A"/>
    <w:rsid w:val="00953C8E"/>
    <w:rsid w:val="00956C46"/>
    <w:rsid w:val="009631E7"/>
    <w:rsid w:val="00971F97"/>
    <w:rsid w:val="00973E55"/>
    <w:rsid w:val="00974A1C"/>
    <w:rsid w:val="0097530E"/>
    <w:rsid w:val="00981EB8"/>
    <w:rsid w:val="00982273"/>
    <w:rsid w:val="009929C1"/>
    <w:rsid w:val="0099421E"/>
    <w:rsid w:val="009944EB"/>
    <w:rsid w:val="00995637"/>
    <w:rsid w:val="00995C4A"/>
    <w:rsid w:val="009A1DCF"/>
    <w:rsid w:val="009A4A5E"/>
    <w:rsid w:val="009A68A7"/>
    <w:rsid w:val="009B0E0B"/>
    <w:rsid w:val="009B180A"/>
    <w:rsid w:val="009B2FD8"/>
    <w:rsid w:val="009D03AF"/>
    <w:rsid w:val="009D08E0"/>
    <w:rsid w:val="009D7073"/>
    <w:rsid w:val="009E1B07"/>
    <w:rsid w:val="009E33E4"/>
    <w:rsid w:val="009F0B24"/>
    <w:rsid w:val="009F16F6"/>
    <w:rsid w:val="009F33A3"/>
    <w:rsid w:val="009F5AC3"/>
    <w:rsid w:val="009F7F02"/>
    <w:rsid w:val="00A00FD8"/>
    <w:rsid w:val="00A026A9"/>
    <w:rsid w:val="00A040F4"/>
    <w:rsid w:val="00A0427E"/>
    <w:rsid w:val="00A079A0"/>
    <w:rsid w:val="00A1029B"/>
    <w:rsid w:val="00A11043"/>
    <w:rsid w:val="00A177A8"/>
    <w:rsid w:val="00A17D11"/>
    <w:rsid w:val="00A26C48"/>
    <w:rsid w:val="00A31690"/>
    <w:rsid w:val="00A422C0"/>
    <w:rsid w:val="00A42568"/>
    <w:rsid w:val="00A46262"/>
    <w:rsid w:val="00A462CD"/>
    <w:rsid w:val="00A46CE4"/>
    <w:rsid w:val="00A51034"/>
    <w:rsid w:val="00A51278"/>
    <w:rsid w:val="00A536CF"/>
    <w:rsid w:val="00A53E34"/>
    <w:rsid w:val="00A54CFB"/>
    <w:rsid w:val="00A564BD"/>
    <w:rsid w:val="00A61904"/>
    <w:rsid w:val="00A63114"/>
    <w:rsid w:val="00A64D8E"/>
    <w:rsid w:val="00A659E0"/>
    <w:rsid w:val="00A67004"/>
    <w:rsid w:val="00A7083F"/>
    <w:rsid w:val="00A70E40"/>
    <w:rsid w:val="00A71CEA"/>
    <w:rsid w:val="00A71D91"/>
    <w:rsid w:val="00A73FF2"/>
    <w:rsid w:val="00A75F14"/>
    <w:rsid w:val="00A75F48"/>
    <w:rsid w:val="00A830D2"/>
    <w:rsid w:val="00A83574"/>
    <w:rsid w:val="00A858C1"/>
    <w:rsid w:val="00A87110"/>
    <w:rsid w:val="00A91542"/>
    <w:rsid w:val="00A91B8B"/>
    <w:rsid w:val="00A92476"/>
    <w:rsid w:val="00A968B8"/>
    <w:rsid w:val="00AA0817"/>
    <w:rsid w:val="00AA1CEE"/>
    <w:rsid w:val="00AA2838"/>
    <w:rsid w:val="00AA392B"/>
    <w:rsid w:val="00AA46C9"/>
    <w:rsid w:val="00AA54ED"/>
    <w:rsid w:val="00AB10A5"/>
    <w:rsid w:val="00AB567C"/>
    <w:rsid w:val="00AC2EBE"/>
    <w:rsid w:val="00AC4411"/>
    <w:rsid w:val="00AC5F17"/>
    <w:rsid w:val="00AD01E1"/>
    <w:rsid w:val="00AD2D37"/>
    <w:rsid w:val="00AD631F"/>
    <w:rsid w:val="00AE1951"/>
    <w:rsid w:val="00AE342F"/>
    <w:rsid w:val="00AE43AC"/>
    <w:rsid w:val="00AE64D6"/>
    <w:rsid w:val="00AE65E2"/>
    <w:rsid w:val="00AE704A"/>
    <w:rsid w:val="00AF089C"/>
    <w:rsid w:val="00AF0E52"/>
    <w:rsid w:val="00B02A2A"/>
    <w:rsid w:val="00B03E3F"/>
    <w:rsid w:val="00B06109"/>
    <w:rsid w:val="00B126B5"/>
    <w:rsid w:val="00B1510B"/>
    <w:rsid w:val="00B1717C"/>
    <w:rsid w:val="00B20FA2"/>
    <w:rsid w:val="00B21C9A"/>
    <w:rsid w:val="00B22CAB"/>
    <w:rsid w:val="00B32CF4"/>
    <w:rsid w:val="00B34D96"/>
    <w:rsid w:val="00B36D3C"/>
    <w:rsid w:val="00B378AF"/>
    <w:rsid w:val="00B4094D"/>
    <w:rsid w:val="00B41ED0"/>
    <w:rsid w:val="00B43EDA"/>
    <w:rsid w:val="00B50C6A"/>
    <w:rsid w:val="00B568DE"/>
    <w:rsid w:val="00B612E2"/>
    <w:rsid w:val="00B71BE1"/>
    <w:rsid w:val="00B8489C"/>
    <w:rsid w:val="00B85CF2"/>
    <w:rsid w:val="00B90935"/>
    <w:rsid w:val="00B911AA"/>
    <w:rsid w:val="00B95DC7"/>
    <w:rsid w:val="00BA6EE9"/>
    <w:rsid w:val="00BB0952"/>
    <w:rsid w:val="00BB19DE"/>
    <w:rsid w:val="00BB6E81"/>
    <w:rsid w:val="00BB7992"/>
    <w:rsid w:val="00BC2811"/>
    <w:rsid w:val="00BC3528"/>
    <w:rsid w:val="00BC47D7"/>
    <w:rsid w:val="00BC50D1"/>
    <w:rsid w:val="00BD3F58"/>
    <w:rsid w:val="00BD4AC3"/>
    <w:rsid w:val="00BE0DD9"/>
    <w:rsid w:val="00BE14F6"/>
    <w:rsid w:val="00BE37F6"/>
    <w:rsid w:val="00BE4771"/>
    <w:rsid w:val="00BE5D3D"/>
    <w:rsid w:val="00BE7194"/>
    <w:rsid w:val="00BF5960"/>
    <w:rsid w:val="00BF5FA6"/>
    <w:rsid w:val="00BF7F6C"/>
    <w:rsid w:val="00C029F8"/>
    <w:rsid w:val="00C052B7"/>
    <w:rsid w:val="00C05D34"/>
    <w:rsid w:val="00C06D2C"/>
    <w:rsid w:val="00C077D8"/>
    <w:rsid w:val="00C13E81"/>
    <w:rsid w:val="00C167B2"/>
    <w:rsid w:val="00C1743F"/>
    <w:rsid w:val="00C17E18"/>
    <w:rsid w:val="00C232D8"/>
    <w:rsid w:val="00C23668"/>
    <w:rsid w:val="00C30AA2"/>
    <w:rsid w:val="00C424D2"/>
    <w:rsid w:val="00C42F66"/>
    <w:rsid w:val="00C51D4E"/>
    <w:rsid w:val="00C55787"/>
    <w:rsid w:val="00C60ED6"/>
    <w:rsid w:val="00C615D4"/>
    <w:rsid w:val="00C61A57"/>
    <w:rsid w:val="00C631CF"/>
    <w:rsid w:val="00C646B2"/>
    <w:rsid w:val="00C66084"/>
    <w:rsid w:val="00C662F4"/>
    <w:rsid w:val="00C70089"/>
    <w:rsid w:val="00C717D5"/>
    <w:rsid w:val="00C75834"/>
    <w:rsid w:val="00C772F5"/>
    <w:rsid w:val="00C776A3"/>
    <w:rsid w:val="00C800CE"/>
    <w:rsid w:val="00C85F5F"/>
    <w:rsid w:val="00C9357E"/>
    <w:rsid w:val="00CA2552"/>
    <w:rsid w:val="00CA69C6"/>
    <w:rsid w:val="00CB4B72"/>
    <w:rsid w:val="00CC16E8"/>
    <w:rsid w:val="00CC326A"/>
    <w:rsid w:val="00CC6A68"/>
    <w:rsid w:val="00CD0092"/>
    <w:rsid w:val="00CD4A96"/>
    <w:rsid w:val="00CE2595"/>
    <w:rsid w:val="00CE3E76"/>
    <w:rsid w:val="00CE6761"/>
    <w:rsid w:val="00CF1067"/>
    <w:rsid w:val="00CF5DF9"/>
    <w:rsid w:val="00CF7CF0"/>
    <w:rsid w:val="00D0103E"/>
    <w:rsid w:val="00D0108C"/>
    <w:rsid w:val="00D017C4"/>
    <w:rsid w:val="00D023B2"/>
    <w:rsid w:val="00D03BBD"/>
    <w:rsid w:val="00D04585"/>
    <w:rsid w:val="00D13004"/>
    <w:rsid w:val="00D231A6"/>
    <w:rsid w:val="00D23AA7"/>
    <w:rsid w:val="00D25C8E"/>
    <w:rsid w:val="00D26326"/>
    <w:rsid w:val="00D26A3D"/>
    <w:rsid w:val="00D27976"/>
    <w:rsid w:val="00D3137F"/>
    <w:rsid w:val="00D34813"/>
    <w:rsid w:val="00D35865"/>
    <w:rsid w:val="00D40150"/>
    <w:rsid w:val="00D40370"/>
    <w:rsid w:val="00D47CF5"/>
    <w:rsid w:val="00D50ECB"/>
    <w:rsid w:val="00D53CE1"/>
    <w:rsid w:val="00D54064"/>
    <w:rsid w:val="00D55D98"/>
    <w:rsid w:val="00D55DCE"/>
    <w:rsid w:val="00D60888"/>
    <w:rsid w:val="00D657AD"/>
    <w:rsid w:val="00D7202E"/>
    <w:rsid w:val="00D744C0"/>
    <w:rsid w:val="00D7470E"/>
    <w:rsid w:val="00D74F5C"/>
    <w:rsid w:val="00D7547F"/>
    <w:rsid w:val="00D765CA"/>
    <w:rsid w:val="00D83248"/>
    <w:rsid w:val="00D92CC2"/>
    <w:rsid w:val="00DA0EBD"/>
    <w:rsid w:val="00DA64D7"/>
    <w:rsid w:val="00DB0390"/>
    <w:rsid w:val="00DB0D87"/>
    <w:rsid w:val="00DB5F8C"/>
    <w:rsid w:val="00DC0750"/>
    <w:rsid w:val="00DC0870"/>
    <w:rsid w:val="00DC20EB"/>
    <w:rsid w:val="00DC27F5"/>
    <w:rsid w:val="00DC4B95"/>
    <w:rsid w:val="00DC6087"/>
    <w:rsid w:val="00DC62C8"/>
    <w:rsid w:val="00DD0A0F"/>
    <w:rsid w:val="00DD190E"/>
    <w:rsid w:val="00DD5412"/>
    <w:rsid w:val="00DD7DFE"/>
    <w:rsid w:val="00DE18D3"/>
    <w:rsid w:val="00DE1D04"/>
    <w:rsid w:val="00DE3689"/>
    <w:rsid w:val="00DE5D4D"/>
    <w:rsid w:val="00DE735D"/>
    <w:rsid w:val="00DF0CA0"/>
    <w:rsid w:val="00DF1DF9"/>
    <w:rsid w:val="00DF3BE5"/>
    <w:rsid w:val="00DF63A4"/>
    <w:rsid w:val="00DF6EC3"/>
    <w:rsid w:val="00DF7D7C"/>
    <w:rsid w:val="00E06D4C"/>
    <w:rsid w:val="00E11DEA"/>
    <w:rsid w:val="00E152BB"/>
    <w:rsid w:val="00E158E1"/>
    <w:rsid w:val="00E21C93"/>
    <w:rsid w:val="00E22CEB"/>
    <w:rsid w:val="00E25DE7"/>
    <w:rsid w:val="00E30F43"/>
    <w:rsid w:val="00E339EF"/>
    <w:rsid w:val="00E412FC"/>
    <w:rsid w:val="00E417AE"/>
    <w:rsid w:val="00E46091"/>
    <w:rsid w:val="00E52CE9"/>
    <w:rsid w:val="00E53CEE"/>
    <w:rsid w:val="00E55EDF"/>
    <w:rsid w:val="00E619B3"/>
    <w:rsid w:val="00E619CD"/>
    <w:rsid w:val="00E63063"/>
    <w:rsid w:val="00E65287"/>
    <w:rsid w:val="00E67193"/>
    <w:rsid w:val="00E724F3"/>
    <w:rsid w:val="00E75BCC"/>
    <w:rsid w:val="00E82799"/>
    <w:rsid w:val="00E83803"/>
    <w:rsid w:val="00E83F6F"/>
    <w:rsid w:val="00E84F79"/>
    <w:rsid w:val="00E856A8"/>
    <w:rsid w:val="00E9651F"/>
    <w:rsid w:val="00EA4FB7"/>
    <w:rsid w:val="00EB2E5F"/>
    <w:rsid w:val="00EB2FAE"/>
    <w:rsid w:val="00EB4204"/>
    <w:rsid w:val="00EB4AEE"/>
    <w:rsid w:val="00EB6329"/>
    <w:rsid w:val="00EB665F"/>
    <w:rsid w:val="00EB7ECA"/>
    <w:rsid w:val="00EC1F6C"/>
    <w:rsid w:val="00EC5377"/>
    <w:rsid w:val="00EC7E52"/>
    <w:rsid w:val="00ED41A4"/>
    <w:rsid w:val="00ED5B71"/>
    <w:rsid w:val="00ED6440"/>
    <w:rsid w:val="00EE0F54"/>
    <w:rsid w:val="00EE533C"/>
    <w:rsid w:val="00EE7319"/>
    <w:rsid w:val="00EE75BB"/>
    <w:rsid w:val="00EE785C"/>
    <w:rsid w:val="00EE7AC7"/>
    <w:rsid w:val="00EF4908"/>
    <w:rsid w:val="00EF4AFF"/>
    <w:rsid w:val="00F0156F"/>
    <w:rsid w:val="00F02091"/>
    <w:rsid w:val="00F04D67"/>
    <w:rsid w:val="00F13595"/>
    <w:rsid w:val="00F14116"/>
    <w:rsid w:val="00F15B4F"/>
    <w:rsid w:val="00F2151A"/>
    <w:rsid w:val="00F23335"/>
    <w:rsid w:val="00F24B5F"/>
    <w:rsid w:val="00F272FA"/>
    <w:rsid w:val="00F27673"/>
    <w:rsid w:val="00F37386"/>
    <w:rsid w:val="00F42308"/>
    <w:rsid w:val="00F42FC2"/>
    <w:rsid w:val="00F44C10"/>
    <w:rsid w:val="00F453DB"/>
    <w:rsid w:val="00F577D5"/>
    <w:rsid w:val="00F630BF"/>
    <w:rsid w:val="00F641FA"/>
    <w:rsid w:val="00F71EBD"/>
    <w:rsid w:val="00F745C9"/>
    <w:rsid w:val="00F8116E"/>
    <w:rsid w:val="00F81D2B"/>
    <w:rsid w:val="00F87BCC"/>
    <w:rsid w:val="00F94B73"/>
    <w:rsid w:val="00F96B65"/>
    <w:rsid w:val="00FA3155"/>
    <w:rsid w:val="00FA4578"/>
    <w:rsid w:val="00FA52FC"/>
    <w:rsid w:val="00FB1123"/>
    <w:rsid w:val="00FB138B"/>
    <w:rsid w:val="00FB151A"/>
    <w:rsid w:val="00FB3100"/>
    <w:rsid w:val="00FB644E"/>
    <w:rsid w:val="00FB672E"/>
    <w:rsid w:val="00FB7641"/>
    <w:rsid w:val="00FB78D1"/>
    <w:rsid w:val="00FC0CCC"/>
    <w:rsid w:val="00FC3079"/>
    <w:rsid w:val="00FC39CB"/>
    <w:rsid w:val="00FD42A0"/>
    <w:rsid w:val="00FD4D4D"/>
    <w:rsid w:val="00FD4E54"/>
    <w:rsid w:val="00FD7C5E"/>
    <w:rsid w:val="00FE4618"/>
    <w:rsid w:val="00FF0388"/>
    <w:rsid w:val="00FF5BDD"/>
    <w:rsid w:val="00FF6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26298"/>
  <w15:docId w15:val="{359220E2-994F-4AD3-862B-86042A2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317"/>
    <w:rPr>
      <w:sz w:val="24"/>
      <w:szCs w:val="24"/>
    </w:rPr>
  </w:style>
  <w:style w:type="paragraph" w:styleId="Heading1">
    <w:name w:val="heading 1"/>
    <w:basedOn w:val="Normal"/>
    <w:next w:val="Normal"/>
    <w:link w:val="Heading1Char"/>
    <w:autoRedefine/>
    <w:qFormat/>
    <w:rsid w:val="00DC0750"/>
    <w:pPr>
      <w:keepNext/>
      <w:numPr>
        <w:numId w:val="13"/>
      </w:numPr>
      <w:spacing w:before="60" w:after="60" w:line="312" w:lineRule="auto"/>
      <w:ind w:left="426"/>
      <w:jc w:val="both"/>
      <w:outlineLvl w:val="0"/>
    </w:pPr>
    <w:rPr>
      <w:b/>
      <w:bCs/>
      <w:noProof/>
      <w:kern w:val="32"/>
      <w:sz w:val="26"/>
      <w:szCs w:val="32"/>
    </w:rPr>
  </w:style>
  <w:style w:type="paragraph" w:styleId="Heading2">
    <w:name w:val="heading 2"/>
    <w:basedOn w:val="Normal"/>
    <w:next w:val="Normal"/>
    <w:link w:val="Heading2Char"/>
    <w:qFormat/>
    <w:rsid w:val="00DC0750"/>
    <w:pPr>
      <w:keepNext/>
      <w:numPr>
        <w:ilvl w:val="1"/>
        <w:numId w:val="13"/>
      </w:numPr>
      <w:spacing w:before="60" w:after="60" w:line="312" w:lineRule="auto"/>
      <w:jc w:val="both"/>
      <w:outlineLvl w:val="1"/>
    </w:pPr>
    <w:rPr>
      <w:b/>
      <w:bCs/>
      <w:i/>
      <w:iCs/>
      <w:noProof/>
      <w:sz w:val="26"/>
      <w:szCs w:val="28"/>
    </w:rPr>
  </w:style>
  <w:style w:type="paragraph" w:styleId="Heading3">
    <w:name w:val="heading 3"/>
    <w:basedOn w:val="Normal"/>
    <w:next w:val="Normal"/>
    <w:link w:val="Heading3Char"/>
    <w:uiPriority w:val="9"/>
    <w:qFormat/>
    <w:rsid w:val="00DC0750"/>
    <w:pPr>
      <w:keepNext/>
      <w:numPr>
        <w:ilvl w:val="2"/>
        <w:numId w:val="13"/>
      </w:numPr>
      <w:spacing w:before="60" w:after="60" w:line="312" w:lineRule="auto"/>
      <w:jc w:val="center"/>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4D87"/>
    <w:pPr>
      <w:tabs>
        <w:tab w:val="center" w:pos="4320"/>
        <w:tab w:val="right" w:pos="8640"/>
      </w:tabs>
    </w:pPr>
  </w:style>
  <w:style w:type="character" w:styleId="PageNumber">
    <w:name w:val="page number"/>
    <w:basedOn w:val="DefaultParagraphFont"/>
    <w:rsid w:val="00134D87"/>
  </w:style>
  <w:style w:type="paragraph" w:customStyle="1" w:styleId="CharCharCharCharCharCharCharCharChar1Char">
    <w:name w:val="Char Char Char Char Char Char Char Char Char1 Char"/>
    <w:basedOn w:val="Normal"/>
    <w:next w:val="Normal"/>
    <w:autoRedefine/>
    <w:semiHidden/>
    <w:rsid w:val="00DD5412"/>
    <w:pPr>
      <w:spacing w:before="120" w:after="120" w:line="312" w:lineRule="auto"/>
    </w:pPr>
    <w:rPr>
      <w:sz w:val="28"/>
      <w:szCs w:val="22"/>
    </w:rPr>
  </w:style>
  <w:style w:type="character" w:styleId="Hyperlink">
    <w:name w:val="Hyperlink"/>
    <w:uiPriority w:val="99"/>
    <w:rsid w:val="00A830D2"/>
    <w:rPr>
      <w:color w:val="0000FF"/>
      <w:u w:val="single"/>
    </w:rPr>
  </w:style>
  <w:style w:type="paragraph" w:styleId="BalloonText">
    <w:name w:val="Balloon Text"/>
    <w:basedOn w:val="Normal"/>
    <w:link w:val="BalloonTextChar"/>
    <w:rsid w:val="008F6F6B"/>
    <w:rPr>
      <w:rFonts w:ascii="Lucida Grande" w:hAnsi="Lucida Grande"/>
      <w:sz w:val="18"/>
      <w:szCs w:val="18"/>
    </w:rPr>
  </w:style>
  <w:style w:type="character" w:customStyle="1" w:styleId="BalloonTextChar">
    <w:name w:val="Balloon Text Char"/>
    <w:link w:val="BalloonText"/>
    <w:rsid w:val="008F6F6B"/>
    <w:rPr>
      <w:rFonts w:ascii="Lucida Grande" w:hAnsi="Lucida Grande"/>
      <w:sz w:val="18"/>
      <w:szCs w:val="18"/>
    </w:rPr>
  </w:style>
  <w:style w:type="character" w:styleId="FollowedHyperlink">
    <w:name w:val="FollowedHyperlink"/>
    <w:rsid w:val="008C0160"/>
    <w:rPr>
      <w:color w:val="800080"/>
      <w:u w:val="single"/>
    </w:rPr>
  </w:style>
  <w:style w:type="paragraph" w:styleId="ListParagraph">
    <w:name w:val="List Paragraph"/>
    <w:basedOn w:val="Normal"/>
    <w:qFormat/>
    <w:rsid w:val="002C603D"/>
    <w:pPr>
      <w:ind w:left="720"/>
      <w:contextualSpacing/>
    </w:pPr>
  </w:style>
  <w:style w:type="paragraph" w:customStyle="1" w:styleId="Noidung">
    <w:name w:val="Noi dung"/>
    <w:basedOn w:val="Normal"/>
    <w:qFormat/>
    <w:rsid w:val="00F15B4F"/>
    <w:pPr>
      <w:spacing w:before="120" w:line="264" w:lineRule="auto"/>
      <w:ind w:firstLine="567"/>
      <w:jc w:val="both"/>
    </w:pPr>
    <w:rPr>
      <w:sz w:val="28"/>
      <w:lang w:eastAsia="vi-VN"/>
    </w:rPr>
  </w:style>
  <w:style w:type="paragraph" w:styleId="NoSpacing">
    <w:name w:val="No Spacing"/>
    <w:link w:val="NoSpacingChar"/>
    <w:uiPriority w:val="1"/>
    <w:qFormat/>
    <w:rsid w:val="003E65CE"/>
    <w:rPr>
      <w:sz w:val="28"/>
      <w:szCs w:val="28"/>
    </w:rPr>
  </w:style>
  <w:style w:type="paragraph" w:styleId="BodyText">
    <w:name w:val="Body Text"/>
    <w:basedOn w:val="Normal"/>
    <w:link w:val="BodyTextChar"/>
    <w:unhideWhenUsed/>
    <w:rsid w:val="00942929"/>
    <w:pPr>
      <w:jc w:val="center"/>
    </w:pPr>
    <w:rPr>
      <w:rFonts w:ascii=".VnTime" w:hAnsi=".VnTime"/>
      <w:b/>
      <w:i/>
      <w:sz w:val="28"/>
      <w:szCs w:val="20"/>
    </w:rPr>
  </w:style>
  <w:style w:type="character" w:customStyle="1" w:styleId="BodyTextChar">
    <w:name w:val="Body Text Char"/>
    <w:basedOn w:val="DefaultParagraphFont"/>
    <w:link w:val="BodyText"/>
    <w:rsid w:val="00942929"/>
    <w:rPr>
      <w:rFonts w:ascii=".VnTime" w:hAnsi=".VnTime"/>
      <w:b/>
      <w:i/>
      <w:sz w:val="28"/>
    </w:rPr>
  </w:style>
  <w:style w:type="paragraph" w:customStyle="1" w:styleId="Normal1">
    <w:name w:val="Normal1"/>
    <w:basedOn w:val="Normal"/>
    <w:rsid w:val="00942929"/>
    <w:pPr>
      <w:spacing w:before="100" w:beforeAutospacing="1" w:after="100" w:afterAutospacing="1"/>
    </w:pPr>
  </w:style>
  <w:style w:type="paragraph" w:styleId="Header">
    <w:name w:val="header"/>
    <w:basedOn w:val="Normal"/>
    <w:link w:val="HeaderChar"/>
    <w:rsid w:val="00E55EDF"/>
    <w:pPr>
      <w:tabs>
        <w:tab w:val="center" w:pos="4680"/>
        <w:tab w:val="right" w:pos="9360"/>
      </w:tabs>
    </w:pPr>
  </w:style>
  <w:style w:type="character" w:customStyle="1" w:styleId="HeaderChar">
    <w:name w:val="Header Char"/>
    <w:basedOn w:val="DefaultParagraphFont"/>
    <w:link w:val="Header"/>
    <w:rsid w:val="00E55EDF"/>
    <w:rPr>
      <w:sz w:val="24"/>
      <w:szCs w:val="24"/>
    </w:rPr>
  </w:style>
  <w:style w:type="paragraph" w:styleId="NormalWeb">
    <w:name w:val="Normal (Web)"/>
    <w:basedOn w:val="Normal"/>
    <w:link w:val="NormalWebChar"/>
    <w:uiPriority w:val="99"/>
    <w:rsid w:val="00DB5F8C"/>
    <w:pPr>
      <w:spacing w:before="100" w:beforeAutospacing="1" w:after="100" w:afterAutospacing="1"/>
    </w:pPr>
  </w:style>
  <w:style w:type="character" w:customStyle="1" w:styleId="NormalWebChar">
    <w:name w:val="Normal (Web) Char"/>
    <w:link w:val="NormalWeb"/>
    <w:rsid w:val="00DB5F8C"/>
    <w:rPr>
      <w:sz w:val="24"/>
      <w:szCs w:val="24"/>
    </w:rPr>
  </w:style>
  <w:style w:type="paragraph" w:customStyle="1" w:styleId="3B">
    <w:name w:val="3B"/>
    <w:basedOn w:val="Normal"/>
    <w:qFormat/>
    <w:rsid w:val="00DB5F8C"/>
    <w:pPr>
      <w:spacing w:line="360" w:lineRule="atLeast"/>
      <w:jc w:val="both"/>
    </w:pPr>
    <w:rPr>
      <w:b/>
      <w:sz w:val="26"/>
      <w:szCs w:val="26"/>
      <w:lang w:val="pt-BR"/>
    </w:rPr>
  </w:style>
  <w:style w:type="character" w:customStyle="1" w:styleId="Heading1Char">
    <w:name w:val="Heading 1 Char"/>
    <w:basedOn w:val="DefaultParagraphFont"/>
    <w:link w:val="Heading1"/>
    <w:rsid w:val="00DC0750"/>
    <w:rPr>
      <w:b/>
      <w:bCs/>
      <w:noProof/>
      <w:kern w:val="32"/>
      <w:sz w:val="26"/>
      <w:szCs w:val="32"/>
    </w:rPr>
  </w:style>
  <w:style w:type="character" w:customStyle="1" w:styleId="Heading2Char">
    <w:name w:val="Heading 2 Char"/>
    <w:basedOn w:val="DefaultParagraphFont"/>
    <w:link w:val="Heading2"/>
    <w:rsid w:val="00DC0750"/>
    <w:rPr>
      <w:b/>
      <w:bCs/>
      <w:i/>
      <w:iCs/>
      <w:noProof/>
      <w:sz w:val="26"/>
      <w:szCs w:val="28"/>
    </w:rPr>
  </w:style>
  <w:style w:type="character" w:customStyle="1" w:styleId="Heading3Char">
    <w:name w:val="Heading 3 Char"/>
    <w:basedOn w:val="DefaultParagraphFont"/>
    <w:link w:val="Heading3"/>
    <w:uiPriority w:val="9"/>
    <w:rsid w:val="00DC0750"/>
    <w:rPr>
      <w:rFonts w:ascii=".VnTimeH" w:hAnsi=".VnTimeH"/>
      <w:b/>
      <w:sz w:val="24"/>
    </w:rPr>
  </w:style>
  <w:style w:type="paragraph" w:customStyle="1" w:styleId="normal-p">
    <w:name w:val="normal-p"/>
    <w:basedOn w:val="Normal"/>
    <w:uiPriority w:val="99"/>
    <w:rsid w:val="00A61904"/>
    <w:rPr>
      <w:sz w:val="20"/>
      <w:szCs w:val="20"/>
    </w:rPr>
  </w:style>
  <w:style w:type="paragraph" w:styleId="BodyTextIndent2">
    <w:name w:val="Body Text Indent 2"/>
    <w:basedOn w:val="Normal"/>
    <w:link w:val="BodyTextIndent2Char"/>
    <w:uiPriority w:val="99"/>
    <w:unhideWhenUsed/>
    <w:rsid w:val="00AA1CEE"/>
    <w:pPr>
      <w:spacing w:after="120" w:line="480" w:lineRule="auto"/>
      <w:ind w:left="360"/>
    </w:pPr>
    <w:rPr>
      <w:sz w:val="28"/>
      <w:szCs w:val="28"/>
    </w:rPr>
  </w:style>
  <w:style w:type="character" w:customStyle="1" w:styleId="BodyTextIndent2Char">
    <w:name w:val="Body Text Indent 2 Char"/>
    <w:basedOn w:val="DefaultParagraphFont"/>
    <w:link w:val="BodyTextIndent2"/>
    <w:uiPriority w:val="99"/>
    <w:rsid w:val="00AA1CEE"/>
    <w:rPr>
      <w:sz w:val="28"/>
      <w:szCs w:val="28"/>
    </w:rPr>
  </w:style>
  <w:style w:type="paragraph" w:customStyle="1" w:styleId="Body1">
    <w:name w:val="Body 1"/>
    <w:rsid w:val="00C66084"/>
    <w:pPr>
      <w:spacing w:after="200" w:line="276" w:lineRule="auto"/>
      <w:outlineLvl w:val="0"/>
    </w:pPr>
    <w:rPr>
      <w:rFonts w:ascii="Helvetica" w:eastAsia="Arial Unicode MS" w:hAnsi="Helvetica"/>
      <w:color w:val="000000"/>
      <w:sz w:val="22"/>
      <w:u w:color="000000"/>
    </w:rPr>
  </w:style>
  <w:style w:type="character" w:styleId="Emphasis">
    <w:name w:val="Emphasis"/>
    <w:qFormat/>
    <w:rsid w:val="00C029F8"/>
    <w:rPr>
      <w:i/>
      <w:iCs/>
    </w:rPr>
  </w:style>
  <w:style w:type="character" w:customStyle="1" w:styleId="NoSpacingChar">
    <w:name w:val="No Spacing Char"/>
    <w:link w:val="NoSpacing"/>
    <w:uiPriority w:val="1"/>
    <w:rsid w:val="00C029F8"/>
    <w:rPr>
      <w:sz w:val="28"/>
      <w:szCs w:val="28"/>
    </w:rPr>
  </w:style>
  <w:style w:type="paragraph" w:customStyle="1" w:styleId="MUCI">
    <w:name w:val="MUC I"/>
    <w:basedOn w:val="TOC3"/>
    <w:link w:val="MUCIChar"/>
    <w:autoRedefine/>
    <w:qFormat/>
    <w:rsid w:val="00D25C8E"/>
    <w:pPr>
      <w:widowControl w:val="0"/>
      <w:tabs>
        <w:tab w:val="right" w:leader="dot" w:pos="9214"/>
      </w:tabs>
      <w:spacing w:before="120" w:after="120" w:line="360" w:lineRule="exact"/>
      <w:ind w:left="0" w:firstLine="709"/>
      <w:jc w:val="both"/>
      <w:outlineLvl w:val="0"/>
    </w:pPr>
    <w:rPr>
      <w:noProof/>
      <w:sz w:val="28"/>
      <w:szCs w:val="26"/>
      <w:lang w:val="pt-BR"/>
    </w:rPr>
  </w:style>
  <w:style w:type="character" w:customStyle="1" w:styleId="MUCIChar">
    <w:name w:val="MUC I Char"/>
    <w:link w:val="MUCI"/>
    <w:rsid w:val="00D25C8E"/>
    <w:rPr>
      <w:noProof/>
      <w:sz w:val="28"/>
      <w:szCs w:val="26"/>
      <w:lang w:val="pt-BR"/>
    </w:rPr>
  </w:style>
  <w:style w:type="paragraph" w:customStyle="1" w:styleId="muc11">
    <w:name w:val="muc 1.1"/>
    <w:basedOn w:val="Normal"/>
    <w:link w:val="muc111Char"/>
    <w:autoRedefine/>
    <w:qFormat/>
    <w:rsid w:val="00D25C8E"/>
    <w:pPr>
      <w:widowControl w:val="0"/>
      <w:spacing w:before="120" w:after="120"/>
      <w:ind w:firstLine="709"/>
      <w:jc w:val="both"/>
      <w:outlineLvl w:val="1"/>
    </w:pPr>
    <w:rPr>
      <w:rFonts w:eastAsia=".VnTime"/>
      <w:b/>
      <w:i/>
      <w:kern w:val="32"/>
      <w:sz w:val="28"/>
      <w:szCs w:val="28"/>
      <w:lang w:val="pt-BR" w:eastAsia="vi-VN"/>
    </w:rPr>
  </w:style>
  <w:style w:type="paragraph" w:customStyle="1" w:styleId="chuthuong">
    <w:name w:val="chu thuong"/>
    <w:basedOn w:val="BodyText2"/>
    <w:link w:val="chuthuongChar"/>
    <w:autoRedefine/>
    <w:qFormat/>
    <w:rsid w:val="00D25C8E"/>
    <w:pPr>
      <w:widowControl w:val="0"/>
      <w:spacing w:before="60" w:after="60" w:line="360" w:lineRule="exact"/>
      <w:ind w:firstLine="720"/>
      <w:jc w:val="center"/>
    </w:pPr>
    <w:rPr>
      <w:bCs/>
      <w:snapToGrid w:val="0"/>
      <w:sz w:val="28"/>
      <w:szCs w:val="20"/>
      <w:lang w:val="pt-BR" w:eastAsia="vi-VN"/>
    </w:rPr>
  </w:style>
  <w:style w:type="character" w:customStyle="1" w:styleId="muc111Char">
    <w:name w:val="muc 1.1.1 Char"/>
    <w:link w:val="muc11"/>
    <w:rsid w:val="00D25C8E"/>
    <w:rPr>
      <w:rFonts w:eastAsia=".VnTime"/>
      <w:b/>
      <w:i/>
      <w:kern w:val="32"/>
      <w:sz w:val="28"/>
      <w:szCs w:val="28"/>
      <w:lang w:val="pt-BR" w:eastAsia="vi-VN"/>
    </w:rPr>
  </w:style>
  <w:style w:type="character" w:customStyle="1" w:styleId="chuthuongChar">
    <w:name w:val="chu thuong Char"/>
    <w:link w:val="chuthuong"/>
    <w:rsid w:val="00D25C8E"/>
    <w:rPr>
      <w:bCs/>
      <w:snapToGrid w:val="0"/>
      <w:sz w:val="28"/>
      <w:lang w:val="pt-BR" w:eastAsia="vi-VN"/>
    </w:rPr>
  </w:style>
  <w:style w:type="paragraph" w:styleId="TOC3">
    <w:name w:val="toc 3"/>
    <w:basedOn w:val="Normal"/>
    <w:next w:val="Normal"/>
    <w:autoRedefine/>
    <w:semiHidden/>
    <w:unhideWhenUsed/>
    <w:rsid w:val="00D25C8E"/>
    <w:pPr>
      <w:spacing w:after="100"/>
      <w:ind w:left="480"/>
    </w:pPr>
  </w:style>
  <w:style w:type="paragraph" w:styleId="BodyText2">
    <w:name w:val="Body Text 2"/>
    <w:basedOn w:val="Normal"/>
    <w:link w:val="BodyText2Char"/>
    <w:semiHidden/>
    <w:unhideWhenUsed/>
    <w:rsid w:val="00D25C8E"/>
    <w:pPr>
      <w:spacing w:after="120" w:line="480" w:lineRule="auto"/>
    </w:pPr>
  </w:style>
  <w:style w:type="character" w:customStyle="1" w:styleId="BodyText2Char">
    <w:name w:val="Body Text 2 Char"/>
    <w:basedOn w:val="DefaultParagraphFont"/>
    <w:link w:val="BodyText2"/>
    <w:semiHidden/>
    <w:rsid w:val="00D25C8E"/>
    <w:rPr>
      <w:sz w:val="24"/>
      <w:szCs w:val="24"/>
    </w:rPr>
  </w:style>
  <w:style w:type="paragraph" w:styleId="BodyTextIndent">
    <w:name w:val="Body Text Indent"/>
    <w:basedOn w:val="Normal"/>
    <w:link w:val="BodyTextIndentChar"/>
    <w:semiHidden/>
    <w:unhideWhenUsed/>
    <w:rsid w:val="00EB4204"/>
    <w:pPr>
      <w:spacing w:after="120"/>
      <w:ind w:left="360"/>
    </w:pPr>
  </w:style>
  <w:style w:type="character" w:customStyle="1" w:styleId="BodyTextIndentChar">
    <w:name w:val="Body Text Indent Char"/>
    <w:basedOn w:val="DefaultParagraphFont"/>
    <w:link w:val="BodyTextIndent"/>
    <w:semiHidden/>
    <w:rsid w:val="00EB4204"/>
    <w:rPr>
      <w:sz w:val="24"/>
      <w:szCs w:val="24"/>
    </w:rPr>
  </w:style>
  <w:style w:type="character" w:customStyle="1" w:styleId="CharChar3">
    <w:name w:val="Char Char3"/>
    <w:locked/>
    <w:rsid w:val="006E46D7"/>
    <w:rPr>
      <w:rFonts w:eastAsia="Batang"/>
      <w:b/>
      <w:sz w:val="28"/>
      <w:szCs w:val="28"/>
      <w:lang w:val="vi-VN" w:eastAsia="en-US" w:bidi="ar-SA"/>
    </w:rPr>
  </w:style>
  <w:style w:type="character" w:customStyle="1" w:styleId="Bodytext20">
    <w:name w:val="Body text (2)_"/>
    <w:link w:val="Bodytext21"/>
    <w:uiPriority w:val="99"/>
    <w:locked/>
    <w:rsid w:val="00382818"/>
    <w:rPr>
      <w:sz w:val="28"/>
      <w:szCs w:val="28"/>
      <w:shd w:val="clear" w:color="auto" w:fill="FFFFFF"/>
    </w:rPr>
  </w:style>
  <w:style w:type="paragraph" w:customStyle="1" w:styleId="Bodytext21">
    <w:name w:val="Body text (2)1"/>
    <w:basedOn w:val="Normal"/>
    <w:link w:val="Bodytext20"/>
    <w:uiPriority w:val="99"/>
    <w:rsid w:val="00382818"/>
    <w:pPr>
      <w:widowControl w:val="0"/>
      <w:shd w:val="clear" w:color="auto" w:fill="FFFFFF"/>
      <w:spacing w:before="300" w:line="240" w:lineRule="atLeast"/>
      <w:ind w:hanging="11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9998">
      <w:bodyDiv w:val="1"/>
      <w:marLeft w:val="0"/>
      <w:marRight w:val="0"/>
      <w:marTop w:val="0"/>
      <w:marBottom w:val="0"/>
      <w:divBdr>
        <w:top w:val="none" w:sz="0" w:space="0" w:color="auto"/>
        <w:left w:val="none" w:sz="0" w:space="0" w:color="auto"/>
        <w:bottom w:val="none" w:sz="0" w:space="0" w:color="auto"/>
        <w:right w:val="none" w:sz="0" w:space="0" w:color="auto"/>
      </w:divBdr>
    </w:div>
    <w:div w:id="347417367">
      <w:bodyDiv w:val="1"/>
      <w:marLeft w:val="0"/>
      <w:marRight w:val="0"/>
      <w:marTop w:val="0"/>
      <w:marBottom w:val="0"/>
      <w:divBdr>
        <w:top w:val="none" w:sz="0" w:space="0" w:color="auto"/>
        <w:left w:val="none" w:sz="0" w:space="0" w:color="auto"/>
        <w:bottom w:val="none" w:sz="0" w:space="0" w:color="auto"/>
        <w:right w:val="none" w:sz="0" w:space="0" w:color="auto"/>
      </w:divBdr>
    </w:div>
    <w:div w:id="475878348">
      <w:bodyDiv w:val="1"/>
      <w:marLeft w:val="0"/>
      <w:marRight w:val="0"/>
      <w:marTop w:val="0"/>
      <w:marBottom w:val="0"/>
      <w:divBdr>
        <w:top w:val="none" w:sz="0" w:space="0" w:color="auto"/>
        <w:left w:val="none" w:sz="0" w:space="0" w:color="auto"/>
        <w:bottom w:val="none" w:sz="0" w:space="0" w:color="auto"/>
        <w:right w:val="none" w:sz="0" w:space="0" w:color="auto"/>
      </w:divBdr>
    </w:div>
    <w:div w:id="516115088">
      <w:bodyDiv w:val="1"/>
      <w:marLeft w:val="0"/>
      <w:marRight w:val="0"/>
      <w:marTop w:val="0"/>
      <w:marBottom w:val="0"/>
      <w:divBdr>
        <w:top w:val="none" w:sz="0" w:space="0" w:color="auto"/>
        <w:left w:val="none" w:sz="0" w:space="0" w:color="auto"/>
        <w:bottom w:val="none" w:sz="0" w:space="0" w:color="auto"/>
        <w:right w:val="none" w:sz="0" w:space="0" w:color="auto"/>
      </w:divBdr>
    </w:div>
    <w:div w:id="521210501">
      <w:bodyDiv w:val="1"/>
      <w:marLeft w:val="0"/>
      <w:marRight w:val="0"/>
      <w:marTop w:val="0"/>
      <w:marBottom w:val="0"/>
      <w:divBdr>
        <w:top w:val="none" w:sz="0" w:space="0" w:color="auto"/>
        <w:left w:val="none" w:sz="0" w:space="0" w:color="auto"/>
        <w:bottom w:val="none" w:sz="0" w:space="0" w:color="auto"/>
        <w:right w:val="none" w:sz="0" w:space="0" w:color="auto"/>
      </w:divBdr>
    </w:div>
    <w:div w:id="557278871">
      <w:bodyDiv w:val="1"/>
      <w:marLeft w:val="0"/>
      <w:marRight w:val="0"/>
      <w:marTop w:val="0"/>
      <w:marBottom w:val="0"/>
      <w:divBdr>
        <w:top w:val="none" w:sz="0" w:space="0" w:color="auto"/>
        <w:left w:val="none" w:sz="0" w:space="0" w:color="auto"/>
        <w:bottom w:val="none" w:sz="0" w:space="0" w:color="auto"/>
        <w:right w:val="none" w:sz="0" w:space="0" w:color="auto"/>
      </w:divBdr>
    </w:div>
    <w:div w:id="653416026">
      <w:bodyDiv w:val="1"/>
      <w:marLeft w:val="0"/>
      <w:marRight w:val="0"/>
      <w:marTop w:val="0"/>
      <w:marBottom w:val="0"/>
      <w:divBdr>
        <w:top w:val="none" w:sz="0" w:space="0" w:color="auto"/>
        <w:left w:val="none" w:sz="0" w:space="0" w:color="auto"/>
        <w:bottom w:val="none" w:sz="0" w:space="0" w:color="auto"/>
        <w:right w:val="none" w:sz="0" w:space="0" w:color="auto"/>
      </w:divBdr>
    </w:div>
    <w:div w:id="687297247">
      <w:bodyDiv w:val="1"/>
      <w:marLeft w:val="0"/>
      <w:marRight w:val="0"/>
      <w:marTop w:val="0"/>
      <w:marBottom w:val="0"/>
      <w:divBdr>
        <w:top w:val="none" w:sz="0" w:space="0" w:color="auto"/>
        <w:left w:val="none" w:sz="0" w:space="0" w:color="auto"/>
        <w:bottom w:val="none" w:sz="0" w:space="0" w:color="auto"/>
        <w:right w:val="none" w:sz="0" w:space="0" w:color="auto"/>
      </w:divBdr>
    </w:div>
    <w:div w:id="702023182">
      <w:bodyDiv w:val="1"/>
      <w:marLeft w:val="0"/>
      <w:marRight w:val="0"/>
      <w:marTop w:val="0"/>
      <w:marBottom w:val="0"/>
      <w:divBdr>
        <w:top w:val="none" w:sz="0" w:space="0" w:color="auto"/>
        <w:left w:val="none" w:sz="0" w:space="0" w:color="auto"/>
        <w:bottom w:val="none" w:sz="0" w:space="0" w:color="auto"/>
        <w:right w:val="none" w:sz="0" w:space="0" w:color="auto"/>
      </w:divBdr>
    </w:div>
    <w:div w:id="937442321">
      <w:bodyDiv w:val="1"/>
      <w:marLeft w:val="0"/>
      <w:marRight w:val="0"/>
      <w:marTop w:val="0"/>
      <w:marBottom w:val="0"/>
      <w:divBdr>
        <w:top w:val="none" w:sz="0" w:space="0" w:color="auto"/>
        <w:left w:val="none" w:sz="0" w:space="0" w:color="auto"/>
        <w:bottom w:val="none" w:sz="0" w:space="0" w:color="auto"/>
        <w:right w:val="none" w:sz="0" w:space="0" w:color="auto"/>
      </w:divBdr>
    </w:div>
    <w:div w:id="963735879">
      <w:bodyDiv w:val="1"/>
      <w:marLeft w:val="0"/>
      <w:marRight w:val="0"/>
      <w:marTop w:val="0"/>
      <w:marBottom w:val="0"/>
      <w:divBdr>
        <w:top w:val="none" w:sz="0" w:space="0" w:color="auto"/>
        <w:left w:val="none" w:sz="0" w:space="0" w:color="auto"/>
        <w:bottom w:val="none" w:sz="0" w:space="0" w:color="auto"/>
        <w:right w:val="none" w:sz="0" w:space="0" w:color="auto"/>
      </w:divBdr>
    </w:div>
    <w:div w:id="1172522713">
      <w:bodyDiv w:val="1"/>
      <w:marLeft w:val="0"/>
      <w:marRight w:val="0"/>
      <w:marTop w:val="0"/>
      <w:marBottom w:val="0"/>
      <w:divBdr>
        <w:top w:val="none" w:sz="0" w:space="0" w:color="auto"/>
        <w:left w:val="none" w:sz="0" w:space="0" w:color="auto"/>
        <w:bottom w:val="none" w:sz="0" w:space="0" w:color="auto"/>
        <w:right w:val="none" w:sz="0" w:space="0" w:color="auto"/>
      </w:divBdr>
    </w:div>
    <w:div w:id="1182360530">
      <w:bodyDiv w:val="1"/>
      <w:marLeft w:val="0"/>
      <w:marRight w:val="0"/>
      <w:marTop w:val="0"/>
      <w:marBottom w:val="0"/>
      <w:divBdr>
        <w:top w:val="none" w:sz="0" w:space="0" w:color="auto"/>
        <w:left w:val="none" w:sz="0" w:space="0" w:color="auto"/>
        <w:bottom w:val="none" w:sz="0" w:space="0" w:color="auto"/>
        <w:right w:val="none" w:sz="0" w:space="0" w:color="auto"/>
      </w:divBdr>
    </w:div>
    <w:div w:id="1196767421">
      <w:bodyDiv w:val="1"/>
      <w:marLeft w:val="0"/>
      <w:marRight w:val="0"/>
      <w:marTop w:val="0"/>
      <w:marBottom w:val="0"/>
      <w:divBdr>
        <w:top w:val="none" w:sz="0" w:space="0" w:color="auto"/>
        <w:left w:val="none" w:sz="0" w:space="0" w:color="auto"/>
        <w:bottom w:val="none" w:sz="0" w:space="0" w:color="auto"/>
        <w:right w:val="none" w:sz="0" w:space="0" w:color="auto"/>
      </w:divBdr>
    </w:div>
    <w:div w:id="1235626526">
      <w:bodyDiv w:val="1"/>
      <w:marLeft w:val="0"/>
      <w:marRight w:val="0"/>
      <w:marTop w:val="0"/>
      <w:marBottom w:val="0"/>
      <w:divBdr>
        <w:top w:val="none" w:sz="0" w:space="0" w:color="auto"/>
        <w:left w:val="none" w:sz="0" w:space="0" w:color="auto"/>
        <w:bottom w:val="none" w:sz="0" w:space="0" w:color="auto"/>
        <w:right w:val="none" w:sz="0" w:space="0" w:color="auto"/>
      </w:divBdr>
    </w:div>
    <w:div w:id="20573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bpl.vn/phutho/pages/vbpq-timkiem.aspx?type=0&amp;s=1&amp;Keyword=01/2018/TT-BTC,&amp;SearchIn=Title,Title1&amp;IsRec=1&amp;pv=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DBF6-75E0-49ED-92C7-06D1B1FD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Microsoft</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subject/>
  <dc:creator>chuyenvientonghop</dc:creator>
  <cp:keywords/>
  <dc:description/>
  <cp:lastModifiedBy>nguyentrongchinhht@live.com</cp:lastModifiedBy>
  <cp:revision>2</cp:revision>
  <cp:lastPrinted>2019-11-12T00:26:00Z</cp:lastPrinted>
  <dcterms:created xsi:type="dcterms:W3CDTF">2019-11-12T00:41:00Z</dcterms:created>
  <dcterms:modified xsi:type="dcterms:W3CDTF">2019-11-12T00:41:00Z</dcterms:modified>
</cp:coreProperties>
</file>