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0" w:type="dxa"/>
        <w:tblLook w:val="04A0" w:firstRow="1" w:lastRow="0" w:firstColumn="1" w:lastColumn="0" w:noHBand="0" w:noVBand="1"/>
      </w:tblPr>
      <w:tblGrid>
        <w:gridCol w:w="3227"/>
        <w:gridCol w:w="6593"/>
      </w:tblGrid>
      <w:tr w:rsidR="00C75DEB" w:rsidRPr="0054287C" w:rsidTr="00A74369">
        <w:tc>
          <w:tcPr>
            <w:tcW w:w="3227" w:type="dxa"/>
          </w:tcPr>
          <w:p w:rsidR="00841B13" w:rsidRPr="0054287C" w:rsidRDefault="00C75DEB" w:rsidP="001074AF">
            <w:pPr>
              <w:spacing w:after="0" w:line="240" w:lineRule="auto"/>
              <w:jc w:val="center"/>
              <w:rPr>
                <w:b/>
                <w:sz w:val="26"/>
              </w:rPr>
            </w:pPr>
            <w:r>
              <w:br w:type="page"/>
            </w:r>
            <w:r>
              <w:br w:type="page"/>
            </w:r>
            <w:r>
              <w:rPr>
                <w:sz w:val="28"/>
                <w:szCs w:val="28"/>
              </w:rPr>
              <w:br w:type="page"/>
            </w:r>
            <w:r>
              <w:rPr>
                <w:sz w:val="28"/>
                <w:szCs w:val="28"/>
              </w:rPr>
              <w:br w:type="page"/>
            </w:r>
            <w:r w:rsidR="00C847D5" w:rsidRPr="0054287C">
              <w:rPr>
                <w:b/>
                <w:sz w:val="26"/>
              </w:rPr>
              <w:t>ỦY BAN NHÂN DÂN</w:t>
            </w:r>
          </w:p>
          <w:p w:rsidR="00C75DEB" w:rsidRPr="0054287C" w:rsidRDefault="00C75DEB">
            <w:pPr>
              <w:spacing w:after="0" w:line="240" w:lineRule="auto"/>
              <w:jc w:val="center"/>
              <w:rPr>
                <w:b/>
                <w:sz w:val="26"/>
              </w:rPr>
            </w:pPr>
            <w:r w:rsidRPr="0054287C">
              <w:rPr>
                <w:b/>
                <w:sz w:val="26"/>
              </w:rPr>
              <w:t>TỈNH HÀ TĨNH</w:t>
            </w:r>
          </w:p>
          <w:p w:rsidR="00C75DEB" w:rsidRPr="0054287C" w:rsidRDefault="0015442D">
            <w:pPr>
              <w:spacing w:after="0" w:line="240" w:lineRule="auto"/>
              <w:jc w:val="center"/>
              <w:rPr>
                <w:b/>
              </w:rPr>
            </w:pPr>
            <w:r>
              <w:rPr>
                <w:b/>
                <w:noProof/>
              </w:rPr>
              <mc:AlternateContent>
                <mc:Choice Requires="wps">
                  <w:drawing>
                    <wp:anchor distT="4294967293" distB="4294967293" distL="114300" distR="114300" simplePos="0" relativeHeight="251657216" behindDoc="0" locked="0" layoutInCell="1" allowOverlap="1">
                      <wp:simplePos x="0" y="0"/>
                      <wp:positionH relativeFrom="column">
                        <wp:posOffset>682625</wp:posOffset>
                      </wp:positionH>
                      <wp:positionV relativeFrom="paragraph">
                        <wp:posOffset>19684</wp:posOffset>
                      </wp:positionV>
                      <wp:extent cx="56134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75pt,1.55pt" to="97.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wVHAIAADU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"/>
                  </w:pict>
                </mc:Fallback>
              </mc:AlternateContent>
            </w:r>
          </w:p>
          <w:p w:rsidR="00C75DEB" w:rsidRPr="00A74369" w:rsidRDefault="00C75DEB" w:rsidP="00E81E6D">
            <w:pPr>
              <w:spacing w:before="120" w:after="0" w:line="240" w:lineRule="auto"/>
              <w:jc w:val="center"/>
              <w:rPr>
                <w:sz w:val="26"/>
              </w:rPr>
            </w:pPr>
            <w:r w:rsidRPr="00A74369">
              <w:rPr>
                <w:sz w:val="26"/>
              </w:rPr>
              <w:t>Số</w:t>
            </w:r>
            <w:r w:rsidR="00B4389C" w:rsidRPr="00A74369">
              <w:rPr>
                <w:sz w:val="26"/>
              </w:rPr>
              <w:t>:</w:t>
            </w:r>
            <w:r w:rsidR="00592C31">
              <w:rPr>
                <w:sz w:val="26"/>
              </w:rPr>
              <w:t xml:space="preserve"> 434</w:t>
            </w:r>
            <w:r w:rsidR="00480EEE" w:rsidRPr="00A74369">
              <w:rPr>
                <w:sz w:val="26"/>
              </w:rPr>
              <w:t>/</w:t>
            </w:r>
            <w:r w:rsidR="001018F9" w:rsidRPr="00A74369">
              <w:rPr>
                <w:sz w:val="26"/>
              </w:rPr>
              <w:t>BC-</w:t>
            </w:r>
            <w:r w:rsidR="00480EEE" w:rsidRPr="00A74369">
              <w:rPr>
                <w:sz w:val="26"/>
              </w:rPr>
              <w:t>UBND</w:t>
            </w:r>
          </w:p>
          <w:p w:rsidR="00C75DEB" w:rsidRPr="0054287C" w:rsidRDefault="00C75DEB" w:rsidP="00B35B95">
            <w:pPr>
              <w:spacing w:after="0" w:line="240" w:lineRule="auto"/>
              <w:jc w:val="center"/>
              <w:rPr>
                <w:sz w:val="24"/>
                <w:szCs w:val="24"/>
              </w:rPr>
            </w:pPr>
          </w:p>
        </w:tc>
        <w:tc>
          <w:tcPr>
            <w:tcW w:w="6593" w:type="dxa"/>
          </w:tcPr>
          <w:p w:rsidR="00C75DEB" w:rsidRPr="0054287C" w:rsidRDefault="00C75DEB" w:rsidP="00A74369">
            <w:pPr>
              <w:spacing w:after="0" w:line="240" w:lineRule="auto"/>
              <w:jc w:val="center"/>
              <w:rPr>
                <w:b/>
                <w:sz w:val="26"/>
              </w:rPr>
            </w:pPr>
            <w:r w:rsidRPr="0054287C">
              <w:rPr>
                <w:b/>
                <w:sz w:val="26"/>
              </w:rPr>
              <w:t xml:space="preserve">CỘNG HÒA XÃ HỘI CHỦ NGHĨA VIỆT </w:t>
            </w:r>
            <w:smartTag w:uri="urn:schemas-microsoft-com:office:smarttags" w:element="place">
              <w:smartTag w:uri="urn:schemas-microsoft-com:office:smarttags" w:element="country-region">
                <w:r w:rsidRPr="0054287C">
                  <w:rPr>
                    <w:b/>
                    <w:sz w:val="26"/>
                  </w:rPr>
                  <w:t>NAM</w:t>
                </w:r>
              </w:smartTag>
            </w:smartTag>
          </w:p>
          <w:p w:rsidR="00C75DEB" w:rsidRPr="0054287C" w:rsidRDefault="00C75DEB" w:rsidP="00A74369">
            <w:pPr>
              <w:spacing w:after="0" w:line="240" w:lineRule="auto"/>
              <w:jc w:val="center"/>
              <w:rPr>
                <w:b/>
                <w:sz w:val="28"/>
                <w:szCs w:val="28"/>
              </w:rPr>
            </w:pPr>
            <w:r w:rsidRPr="0054287C">
              <w:rPr>
                <w:b/>
                <w:sz w:val="28"/>
                <w:szCs w:val="28"/>
              </w:rPr>
              <w:t>Độc lập - Tự do - Hạnh phúc</w:t>
            </w:r>
          </w:p>
          <w:p w:rsidR="00C75DEB" w:rsidRPr="0054287C" w:rsidRDefault="0015442D">
            <w:pPr>
              <w:spacing w:after="0" w:line="240" w:lineRule="auto"/>
              <w:jc w:val="center"/>
              <w:rPr>
                <w:b/>
                <w:sz w:val="26"/>
              </w:rPr>
            </w:pPr>
            <w:r>
              <w:rPr>
                <w:b/>
                <w:noProof/>
                <w:sz w:val="26"/>
              </w:rPr>
              <mc:AlternateContent>
                <mc:Choice Requires="wps">
                  <w:drawing>
                    <wp:anchor distT="4294967295" distB="4294967295" distL="114300" distR="114300" simplePos="0" relativeHeight="251660288" behindDoc="0" locked="0" layoutInCell="1" allowOverlap="1">
                      <wp:simplePos x="0" y="0"/>
                      <wp:positionH relativeFrom="column">
                        <wp:posOffset>985520</wp:posOffset>
                      </wp:positionH>
                      <wp:positionV relativeFrom="paragraph">
                        <wp:posOffset>36194</wp:posOffset>
                      </wp:positionV>
                      <wp:extent cx="21145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6pt,2.85pt" to="244.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" strokecolor="#4579b8 [3044]">
                      <o:lock v:ext="edit" shapetype="f"/>
                    </v:line>
                  </w:pict>
                </mc:Fallback>
              </mc:AlternateContent>
            </w:r>
          </w:p>
          <w:p w:rsidR="00C75DEB" w:rsidRPr="0054287C" w:rsidRDefault="00592C31" w:rsidP="0094090D">
            <w:pPr>
              <w:spacing w:before="120" w:after="0" w:line="240" w:lineRule="auto"/>
              <w:jc w:val="center"/>
              <w:rPr>
                <w:i/>
              </w:rPr>
            </w:pPr>
            <w:r>
              <w:rPr>
                <w:i/>
                <w:sz w:val="28"/>
              </w:rPr>
              <w:t xml:space="preserve">    </w:t>
            </w:r>
            <w:r w:rsidR="00C847D5" w:rsidRPr="0054287C">
              <w:rPr>
                <w:i/>
                <w:sz w:val="28"/>
              </w:rPr>
              <w:t>Hà Tĩnh, ngày</w:t>
            </w:r>
            <w:r w:rsidR="00A74369">
              <w:rPr>
                <w:i/>
                <w:sz w:val="28"/>
              </w:rPr>
              <w:t xml:space="preserve"> 12</w:t>
            </w:r>
            <w:r w:rsidR="00C75DEB" w:rsidRPr="0054287C">
              <w:rPr>
                <w:i/>
                <w:sz w:val="28"/>
              </w:rPr>
              <w:t xml:space="preserve"> tháng 12 năm 2019</w:t>
            </w:r>
          </w:p>
        </w:tc>
      </w:tr>
    </w:tbl>
    <w:p w:rsidR="001018F9" w:rsidRDefault="001018F9" w:rsidP="00210EAF">
      <w:pPr>
        <w:spacing w:after="0" w:line="240" w:lineRule="auto"/>
        <w:rPr>
          <w:sz w:val="28"/>
          <w:szCs w:val="28"/>
        </w:rPr>
      </w:pPr>
    </w:p>
    <w:p w:rsidR="001018F9" w:rsidRPr="001018F9" w:rsidRDefault="001018F9" w:rsidP="00C75DEB">
      <w:pPr>
        <w:spacing w:after="0" w:line="240" w:lineRule="auto"/>
        <w:jc w:val="center"/>
        <w:rPr>
          <w:b/>
          <w:sz w:val="28"/>
          <w:szCs w:val="28"/>
        </w:rPr>
      </w:pPr>
      <w:r w:rsidRPr="001018F9">
        <w:rPr>
          <w:b/>
          <w:sz w:val="28"/>
          <w:szCs w:val="28"/>
        </w:rPr>
        <w:t xml:space="preserve">BÁO CÁO </w:t>
      </w:r>
    </w:p>
    <w:p w:rsidR="001018F9" w:rsidRDefault="001018F9" w:rsidP="001018F9">
      <w:pPr>
        <w:spacing w:after="0" w:line="240" w:lineRule="auto"/>
        <w:jc w:val="center"/>
        <w:rPr>
          <w:b/>
          <w:sz w:val="28"/>
          <w:szCs w:val="24"/>
        </w:rPr>
      </w:pPr>
      <w:r>
        <w:rPr>
          <w:b/>
          <w:sz w:val="28"/>
          <w:szCs w:val="24"/>
        </w:rPr>
        <w:t>T</w:t>
      </w:r>
      <w:r w:rsidRPr="001018F9">
        <w:rPr>
          <w:b/>
          <w:sz w:val="28"/>
          <w:szCs w:val="24"/>
        </w:rPr>
        <w:t>ình hình triển</w:t>
      </w:r>
      <w:r w:rsidR="008029A1">
        <w:rPr>
          <w:b/>
          <w:sz w:val="28"/>
          <w:szCs w:val="24"/>
        </w:rPr>
        <w:t xml:space="preserve"> </w:t>
      </w:r>
      <w:r w:rsidRPr="001018F9">
        <w:rPr>
          <w:b/>
          <w:sz w:val="28"/>
          <w:szCs w:val="24"/>
        </w:rPr>
        <w:t>khai thực hiện Nghị quyết số 156/2019/NQ-HĐND</w:t>
      </w:r>
    </w:p>
    <w:p w:rsidR="001018F9" w:rsidRPr="001018F9" w:rsidRDefault="001018F9" w:rsidP="001018F9">
      <w:pPr>
        <w:spacing w:after="0" w:line="240" w:lineRule="auto"/>
        <w:jc w:val="center"/>
        <w:rPr>
          <w:b/>
          <w:sz w:val="28"/>
          <w:szCs w:val="24"/>
        </w:rPr>
      </w:pPr>
      <w:r w:rsidRPr="001018F9">
        <w:rPr>
          <w:b/>
          <w:sz w:val="28"/>
          <w:szCs w:val="24"/>
        </w:rPr>
        <w:t xml:space="preserve"> của </w:t>
      </w:r>
      <w:r>
        <w:rPr>
          <w:b/>
          <w:sz w:val="28"/>
          <w:szCs w:val="24"/>
        </w:rPr>
        <w:t>Hội đồng nhân dân</w:t>
      </w:r>
      <w:r w:rsidRPr="001018F9">
        <w:rPr>
          <w:b/>
          <w:sz w:val="28"/>
          <w:szCs w:val="24"/>
        </w:rPr>
        <w:t xml:space="preserve"> tỉnh</w:t>
      </w:r>
    </w:p>
    <w:p w:rsidR="001018F9" w:rsidRDefault="0015442D" w:rsidP="00C75DEB">
      <w:pPr>
        <w:spacing w:after="0" w:line="240" w:lineRule="auto"/>
        <w:jc w:val="center"/>
        <w:rPr>
          <w:sz w:val="28"/>
          <w:szCs w:val="28"/>
        </w:rPr>
      </w:pPr>
      <w:r>
        <w:rPr>
          <w:noProof/>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2196465</wp:posOffset>
                </wp:positionH>
                <wp:positionV relativeFrom="paragraph">
                  <wp:posOffset>49529</wp:posOffset>
                </wp:positionV>
                <wp:extent cx="13525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2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95pt,3.9pt" to="279.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" strokecolor="#4579b8 [3044]">
                <o:lock v:ext="edit" shapetype="f"/>
              </v:line>
            </w:pict>
          </mc:Fallback>
        </mc:AlternateContent>
      </w:r>
    </w:p>
    <w:p w:rsidR="00210EAF" w:rsidRPr="0094090D" w:rsidRDefault="00210EAF" w:rsidP="00C75DEB">
      <w:pPr>
        <w:spacing w:after="0" w:line="240" w:lineRule="auto"/>
        <w:jc w:val="center"/>
        <w:rPr>
          <w:sz w:val="32"/>
          <w:szCs w:val="28"/>
        </w:rPr>
      </w:pPr>
    </w:p>
    <w:p w:rsidR="00C75DEB" w:rsidRPr="0054287C" w:rsidRDefault="00C75DEB" w:rsidP="00C75DEB">
      <w:pPr>
        <w:spacing w:after="0" w:line="240" w:lineRule="auto"/>
        <w:jc w:val="center"/>
        <w:rPr>
          <w:sz w:val="28"/>
          <w:szCs w:val="28"/>
        </w:rPr>
      </w:pPr>
      <w:r w:rsidRPr="0054287C">
        <w:rPr>
          <w:sz w:val="28"/>
          <w:szCs w:val="28"/>
        </w:rPr>
        <w:t xml:space="preserve">Kính gửi: </w:t>
      </w:r>
      <w:r w:rsidR="001018F9">
        <w:rPr>
          <w:sz w:val="28"/>
          <w:szCs w:val="28"/>
        </w:rPr>
        <w:t>Hội đồng nhân dân</w:t>
      </w:r>
      <w:r w:rsidR="00C847D5" w:rsidRPr="0054287C">
        <w:rPr>
          <w:sz w:val="28"/>
          <w:szCs w:val="28"/>
        </w:rPr>
        <w:t xml:space="preserve"> tỉnh</w:t>
      </w:r>
    </w:p>
    <w:p w:rsidR="00C75DEB" w:rsidRPr="00A40EAA" w:rsidRDefault="00C75DEB" w:rsidP="00C75DEB">
      <w:pPr>
        <w:spacing w:after="0" w:line="240" w:lineRule="auto"/>
        <w:rPr>
          <w:szCs w:val="28"/>
        </w:rPr>
      </w:pPr>
    </w:p>
    <w:p w:rsidR="00C75DEB" w:rsidRPr="0054287C" w:rsidRDefault="00C75DEB" w:rsidP="0036773F">
      <w:pPr>
        <w:spacing w:after="0" w:line="288" w:lineRule="auto"/>
        <w:ind w:left="2160"/>
        <w:rPr>
          <w:sz w:val="8"/>
          <w:szCs w:val="28"/>
        </w:rPr>
      </w:pPr>
    </w:p>
    <w:p w:rsidR="007A7D74" w:rsidRDefault="00C75DEB" w:rsidP="00A40EAA">
      <w:pPr>
        <w:spacing w:before="120" w:after="0" w:line="240" w:lineRule="auto"/>
        <w:ind w:firstLine="720"/>
        <w:jc w:val="both"/>
        <w:rPr>
          <w:sz w:val="28"/>
          <w:szCs w:val="28"/>
        </w:rPr>
      </w:pPr>
      <w:r w:rsidRPr="0054287C">
        <w:rPr>
          <w:sz w:val="28"/>
          <w:szCs w:val="28"/>
        </w:rPr>
        <w:t xml:space="preserve">Thực hiện </w:t>
      </w:r>
      <w:r w:rsidR="00841B13" w:rsidRPr="0054287C">
        <w:rPr>
          <w:sz w:val="28"/>
          <w:szCs w:val="28"/>
        </w:rPr>
        <w:t>Văn bản</w:t>
      </w:r>
      <w:r w:rsidRPr="0054287C">
        <w:rPr>
          <w:sz w:val="28"/>
          <w:szCs w:val="28"/>
        </w:rPr>
        <w:t xml:space="preserve"> số</w:t>
      </w:r>
      <w:r w:rsidR="007A7D74" w:rsidRPr="0054287C">
        <w:rPr>
          <w:sz w:val="28"/>
          <w:szCs w:val="28"/>
        </w:rPr>
        <w:t xml:space="preserve"> 739/HĐND ngày 05/12</w:t>
      </w:r>
      <w:r w:rsidRPr="0054287C">
        <w:rPr>
          <w:sz w:val="28"/>
          <w:szCs w:val="28"/>
        </w:rPr>
        <w:t>/2019 củ</w:t>
      </w:r>
      <w:r w:rsidR="007A7D74" w:rsidRPr="0054287C">
        <w:rPr>
          <w:sz w:val="28"/>
          <w:szCs w:val="28"/>
        </w:rPr>
        <w:t xml:space="preserve">a Thường trực </w:t>
      </w:r>
      <w:r w:rsidR="00210EAF">
        <w:rPr>
          <w:sz w:val="28"/>
          <w:szCs w:val="28"/>
        </w:rPr>
        <w:t>Hội đồng nhân dân</w:t>
      </w:r>
      <w:r w:rsidRPr="0054287C">
        <w:rPr>
          <w:sz w:val="28"/>
          <w:szCs w:val="28"/>
        </w:rPr>
        <w:t xml:space="preserve"> tỉnh về việc </w:t>
      </w:r>
      <w:r w:rsidR="00210EAF">
        <w:rPr>
          <w:sz w:val="28"/>
          <w:szCs w:val="28"/>
        </w:rPr>
        <w:t>b</w:t>
      </w:r>
      <w:r w:rsidR="007A7D74" w:rsidRPr="0054287C">
        <w:rPr>
          <w:sz w:val="28"/>
          <w:szCs w:val="28"/>
        </w:rPr>
        <w:t>áo cáo tình hình triển khai thực hiện Nghị quyết số</w:t>
      </w:r>
      <w:r w:rsidR="00592C31">
        <w:rPr>
          <w:sz w:val="28"/>
          <w:szCs w:val="28"/>
        </w:rPr>
        <w:t xml:space="preserve"> 156/2019/NQ</w:t>
      </w:r>
      <w:r w:rsidR="00B35B95" w:rsidRPr="0054287C">
        <w:rPr>
          <w:sz w:val="28"/>
          <w:szCs w:val="28"/>
        </w:rPr>
        <w:t>-</w:t>
      </w:r>
      <w:r w:rsidR="007A7D74" w:rsidRPr="0054287C">
        <w:rPr>
          <w:sz w:val="28"/>
          <w:szCs w:val="28"/>
        </w:rPr>
        <w:t xml:space="preserve">HĐND </w:t>
      </w:r>
      <w:r w:rsidR="00B35B95" w:rsidRPr="0054287C">
        <w:rPr>
          <w:sz w:val="28"/>
          <w:szCs w:val="28"/>
        </w:rPr>
        <w:t xml:space="preserve">ngày 17/7/2019 </w:t>
      </w:r>
      <w:r w:rsidR="007A7D74" w:rsidRPr="0054287C">
        <w:rPr>
          <w:sz w:val="28"/>
          <w:szCs w:val="28"/>
        </w:rPr>
        <w:t xml:space="preserve">của </w:t>
      </w:r>
      <w:r w:rsidR="00210EAF">
        <w:rPr>
          <w:sz w:val="28"/>
          <w:szCs w:val="28"/>
        </w:rPr>
        <w:t>Hội đồng nhân dân</w:t>
      </w:r>
      <w:r w:rsidR="007A7D74" w:rsidRPr="0054287C">
        <w:rPr>
          <w:sz w:val="28"/>
          <w:szCs w:val="28"/>
        </w:rPr>
        <w:t xml:space="preserve"> tỉnh</w:t>
      </w:r>
      <w:r w:rsidR="00592C31">
        <w:rPr>
          <w:sz w:val="28"/>
          <w:szCs w:val="28"/>
        </w:rPr>
        <w:t xml:space="preserve"> </w:t>
      </w:r>
      <w:r w:rsidR="00BA02B6" w:rsidRPr="0054287C">
        <w:rPr>
          <w:sz w:val="28"/>
          <w:szCs w:val="28"/>
        </w:rPr>
        <w:t>quy định về số lượng cán bộ, công chức cấp xã, phường, thị trấn; chức danh, số lượng, mức khoán chi phụ cấp đối với người hoạt động không chuyên trách ở cấp xã, ở thôn, tổ dân phố; mức bồi dưỡng đối với người trực tiếp tham gia công việc của thôn, tổ dân phố</w:t>
      </w:r>
      <w:r w:rsidR="00592C31">
        <w:rPr>
          <w:sz w:val="28"/>
          <w:szCs w:val="28"/>
        </w:rPr>
        <w:t xml:space="preserve"> </w:t>
      </w:r>
      <w:r w:rsidR="00E11C3D" w:rsidRPr="0054287C">
        <w:rPr>
          <w:sz w:val="28"/>
          <w:szCs w:val="28"/>
        </w:rPr>
        <w:t>(sau đ</w:t>
      </w:r>
      <w:r w:rsidR="00B35B95" w:rsidRPr="0054287C">
        <w:rPr>
          <w:sz w:val="28"/>
          <w:szCs w:val="28"/>
        </w:rPr>
        <w:t>â</w:t>
      </w:r>
      <w:r w:rsidR="00E11C3D" w:rsidRPr="0054287C">
        <w:rPr>
          <w:sz w:val="28"/>
          <w:szCs w:val="28"/>
        </w:rPr>
        <w:t>y viết tắt là Nghị quyết số 1</w:t>
      </w:r>
      <w:r w:rsidR="00320099" w:rsidRPr="0054287C">
        <w:rPr>
          <w:sz w:val="28"/>
          <w:szCs w:val="28"/>
        </w:rPr>
        <w:t>56/2019/NQ</w:t>
      </w:r>
      <w:r w:rsidR="001B7553" w:rsidRPr="0054287C">
        <w:rPr>
          <w:sz w:val="28"/>
          <w:szCs w:val="28"/>
        </w:rPr>
        <w:t>-</w:t>
      </w:r>
      <w:r w:rsidR="00E11C3D" w:rsidRPr="0054287C">
        <w:rPr>
          <w:sz w:val="28"/>
          <w:szCs w:val="28"/>
        </w:rPr>
        <w:t>HĐND)</w:t>
      </w:r>
      <w:r w:rsidR="00210EAF">
        <w:rPr>
          <w:sz w:val="28"/>
          <w:szCs w:val="28"/>
        </w:rPr>
        <w:t>; Ủy ban nhân dân</w:t>
      </w:r>
      <w:r w:rsidR="00C847D5" w:rsidRPr="0054287C">
        <w:rPr>
          <w:sz w:val="28"/>
          <w:szCs w:val="28"/>
        </w:rPr>
        <w:t xml:space="preserve"> tỉnh</w:t>
      </w:r>
      <w:r w:rsidRPr="0054287C">
        <w:rPr>
          <w:sz w:val="28"/>
          <w:szCs w:val="28"/>
        </w:rPr>
        <w:t xml:space="preserve"> báo cáo</w:t>
      </w:r>
      <w:r w:rsidR="001B7553" w:rsidRPr="0054287C">
        <w:rPr>
          <w:sz w:val="28"/>
          <w:szCs w:val="28"/>
        </w:rPr>
        <w:t xml:space="preserve"> tình hình triển khai thực hiện</w:t>
      </w:r>
      <w:r w:rsidRPr="0054287C">
        <w:rPr>
          <w:sz w:val="28"/>
          <w:szCs w:val="28"/>
        </w:rPr>
        <w:t xml:space="preserve"> như sau:</w:t>
      </w:r>
    </w:p>
    <w:p w:rsidR="008C2C48" w:rsidRDefault="00D84EF2" w:rsidP="00A40EAA">
      <w:pPr>
        <w:spacing w:before="120" w:after="0" w:line="240" w:lineRule="auto"/>
        <w:ind w:firstLine="720"/>
        <w:jc w:val="both"/>
        <w:rPr>
          <w:sz w:val="28"/>
          <w:szCs w:val="28"/>
        </w:rPr>
      </w:pPr>
      <w:r w:rsidRPr="0054287C">
        <w:rPr>
          <w:sz w:val="28"/>
          <w:szCs w:val="28"/>
        </w:rPr>
        <w:t xml:space="preserve">Để triển khai thực hiện </w:t>
      </w:r>
      <w:r w:rsidR="00210EAF" w:rsidRPr="0054287C">
        <w:rPr>
          <w:sz w:val="28"/>
          <w:szCs w:val="28"/>
        </w:rPr>
        <w:t>Nghị quyết số</w:t>
      </w:r>
      <w:r w:rsidR="00592C31">
        <w:rPr>
          <w:sz w:val="28"/>
          <w:szCs w:val="28"/>
        </w:rPr>
        <w:t xml:space="preserve"> </w:t>
      </w:r>
      <w:r w:rsidR="00210EAF" w:rsidRPr="0054287C">
        <w:rPr>
          <w:sz w:val="28"/>
          <w:szCs w:val="28"/>
        </w:rPr>
        <w:t xml:space="preserve">156/2019/NQ-HĐND ngày 17/7/2019 </w:t>
      </w:r>
      <w:r w:rsidR="00210EAF">
        <w:rPr>
          <w:sz w:val="28"/>
          <w:szCs w:val="28"/>
        </w:rPr>
        <w:t xml:space="preserve">của </w:t>
      </w:r>
      <w:r w:rsidR="00210EAF" w:rsidRPr="0054287C">
        <w:rPr>
          <w:sz w:val="28"/>
          <w:szCs w:val="28"/>
        </w:rPr>
        <w:t xml:space="preserve">Hội đồng nhân dân tỉnh </w:t>
      </w:r>
      <w:r w:rsidR="00210EAF">
        <w:rPr>
          <w:sz w:val="28"/>
          <w:szCs w:val="28"/>
        </w:rPr>
        <w:t>K</w:t>
      </w:r>
      <w:r w:rsidR="00210EAF" w:rsidRPr="0054287C">
        <w:rPr>
          <w:sz w:val="28"/>
          <w:szCs w:val="28"/>
        </w:rPr>
        <w:t>hóa XVII kỳ họp thứ 10 quy định số lượng cán bộ, công chức xã, phường, thị trấn; chức danh, số lượng, mức khoán chi phụ cấp đối với người hoạt động không chuyên trách ở cấp xã, ở thôn, tổ dân phố; mức bồi dưỡng đối với người trực tiếp tham gia công việc của thôn, tổ dân phố</w:t>
      </w:r>
      <w:r w:rsidRPr="0054287C">
        <w:rPr>
          <w:sz w:val="28"/>
          <w:szCs w:val="28"/>
        </w:rPr>
        <w:t xml:space="preserve">, </w:t>
      </w:r>
      <w:r w:rsidR="00F00F71">
        <w:rPr>
          <w:sz w:val="28"/>
          <w:szCs w:val="28"/>
        </w:rPr>
        <w:t>UBND</w:t>
      </w:r>
      <w:r w:rsidRPr="0054287C">
        <w:rPr>
          <w:sz w:val="28"/>
          <w:szCs w:val="28"/>
        </w:rPr>
        <w:t xml:space="preserve"> tỉnh đã </w:t>
      </w:r>
      <w:r w:rsidR="00C74177" w:rsidRPr="0054287C">
        <w:rPr>
          <w:sz w:val="28"/>
          <w:szCs w:val="28"/>
        </w:rPr>
        <w:t>giao S</w:t>
      </w:r>
      <w:r w:rsidRPr="0054287C">
        <w:rPr>
          <w:sz w:val="28"/>
          <w:szCs w:val="28"/>
        </w:rPr>
        <w:t xml:space="preserve">ở Tài chính, </w:t>
      </w:r>
      <w:r w:rsidR="0094090D">
        <w:rPr>
          <w:sz w:val="28"/>
          <w:szCs w:val="28"/>
        </w:rPr>
        <w:t xml:space="preserve">Sở </w:t>
      </w:r>
      <w:r w:rsidRPr="0054287C">
        <w:rPr>
          <w:sz w:val="28"/>
          <w:szCs w:val="28"/>
        </w:rPr>
        <w:t>Nội vụ</w:t>
      </w:r>
      <w:r w:rsidR="0094090D">
        <w:rPr>
          <w:sz w:val="28"/>
          <w:szCs w:val="28"/>
        </w:rPr>
        <w:t xml:space="preserve"> và các cơ quan liên quan </w:t>
      </w:r>
      <w:r w:rsidR="00A40EAA">
        <w:rPr>
          <w:sz w:val="28"/>
          <w:szCs w:val="28"/>
        </w:rPr>
        <w:t>nghiên cứu,</w:t>
      </w:r>
      <w:r w:rsidR="009248FC" w:rsidRPr="0054287C">
        <w:rPr>
          <w:sz w:val="28"/>
          <w:szCs w:val="28"/>
        </w:rPr>
        <w:t xml:space="preserve"> hướng dẫn thực hiện Nghị quyế</w:t>
      </w:r>
      <w:r w:rsidR="00A40EAA">
        <w:rPr>
          <w:sz w:val="28"/>
          <w:szCs w:val="28"/>
        </w:rPr>
        <w:t>t.</w:t>
      </w:r>
    </w:p>
    <w:p w:rsidR="009C7B5D" w:rsidRDefault="00A40EAA" w:rsidP="00A40EAA">
      <w:pPr>
        <w:spacing w:before="120" w:after="0" w:line="240" w:lineRule="auto"/>
        <w:ind w:firstLine="720"/>
        <w:jc w:val="both"/>
        <w:rPr>
          <w:sz w:val="28"/>
          <w:szCs w:val="28"/>
        </w:rPr>
      </w:pPr>
      <w:r>
        <w:rPr>
          <w:sz w:val="28"/>
          <w:szCs w:val="28"/>
        </w:rPr>
        <w:t xml:space="preserve"> Ngày 17/10/2019, l</w:t>
      </w:r>
      <w:r w:rsidR="009248FC" w:rsidRPr="0054287C">
        <w:rPr>
          <w:sz w:val="28"/>
          <w:szCs w:val="28"/>
        </w:rPr>
        <w:t>iên Sở</w:t>
      </w:r>
      <w:r w:rsidR="00210EAF">
        <w:rPr>
          <w:sz w:val="28"/>
          <w:szCs w:val="28"/>
        </w:rPr>
        <w:t>:</w:t>
      </w:r>
      <w:r w:rsidR="009248FC" w:rsidRPr="0054287C">
        <w:rPr>
          <w:sz w:val="28"/>
          <w:szCs w:val="28"/>
        </w:rPr>
        <w:t xml:space="preserve"> Tài chính, Nội vụ đã ban hành </w:t>
      </w:r>
      <w:r w:rsidR="00D84EF2" w:rsidRPr="0054287C">
        <w:rPr>
          <w:sz w:val="28"/>
          <w:szCs w:val="28"/>
        </w:rPr>
        <w:t>Văn bản số 1477/</w:t>
      </w:r>
      <w:r w:rsidR="00592C31">
        <w:rPr>
          <w:sz w:val="28"/>
          <w:szCs w:val="28"/>
        </w:rPr>
        <w:t xml:space="preserve">SNV-STC </w:t>
      </w:r>
      <w:r w:rsidR="00D84EF2" w:rsidRPr="0054287C">
        <w:rPr>
          <w:sz w:val="28"/>
          <w:szCs w:val="28"/>
        </w:rPr>
        <w:t xml:space="preserve">hướng dẫn </w:t>
      </w:r>
      <w:r w:rsidR="009248FC" w:rsidRPr="0054287C">
        <w:rPr>
          <w:sz w:val="28"/>
          <w:szCs w:val="28"/>
        </w:rPr>
        <w:t>một số nội dung về thực hiện chế độ phụ cấp đối với người không chuyên trách cấp xã, ở thôn, tổ dân phố và mức bồi dưỡng đối với người trực tiếp tham gia công việc của thôn, tổ dân phố theo quy định tại Nghị quyết số 156/2019/NQ-HĐND của Hội đồng nhân dân tỉnh</w:t>
      </w:r>
      <w:r w:rsidR="00D84EF2" w:rsidRPr="0054287C">
        <w:rPr>
          <w:sz w:val="28"/>
          <w:szCs w:val="28"/>
        </w:rPr>
        <w:t>.</w:t>
      </w:r>
    </w:p>
    <w:p w:rsidR="008C2C48" w:rsidRPr="008C2C48" w:rsidRDefault="008C2C48" w:rsidP="008C2C48">
      <w:pPr>
        <w:spacing w:before="120" w:after="0" w:line="240" w:lineRule="auto"/>
        <w:ind w:firstLine="720"/>
        <w:jc w:val="both"/>
        <w:rPr>
          <w:b/>
          <w:sz w:val="28"/>
          <w:szCs w:val="28"/>
        </w:rPr>
      </w:pPr>
      <w:r w:rsidRPr="008C2C48">
        <w:rPr>
          <w:b/>
          <w:sz w:val="28"/>
          <w:szCs w:val="28"/>
        </w:rPr>
        <w:t>1. Kết quả thực hiện</w:t>
      </w:r>
    </w:p>
    <w:p w:rsidR="008C2C48" w:rsidRDefault="008C2C48" w:rsidP="008C2C48">
      <w:pPr>
        <w:spacing w:before="120" w:after="0" w:line="240" w:lineRule="auto"/>
        <w:ind w:firstLine="720"/>
        <w:jc w:val="both"/>
        <w:rPr>
          <w:sz w:val="28"/>
          <w:szCs w:val="28"/>
        </w:rPr>
      </w:pPr>
      <w:r>
        <w:rPr>
          <w:sz w:val="28"/>
          <w:szCs w:val="28"/>
        </w:rPr>
        <w:t>Căn cứ Hướng dẫn của liên Sở: Tài chính, Nội vụ, các đơn vị, địa phương đã triển khai thực hiện Nghị quyết số 156/2019/NQ-HĐND của HĐND tỉnh đến tận thôn, tổ dân phố. Đến tháng 11/2019, việc bố trí của các xã, thị trấn như sau:</w:t>
      </w:r>
    </w:p>
    <w:p w:rsidR="008C2C48" w:rsidRDefault="008C2C48" w:rsidP="008C2C48">
      <w:pPr>
        <w:spacing w:before="120" w:after="0" w:line="240" w:lineRule="auto"/>
        <w:ind w:firstLine="720"/>
        <w:jc w:val="both"/>
        <w:rPr>
          <w:sz w:val="28"/>
          <w:szCs w:val="28"/>
        </w:rPr>
      </w:pPr>
      <w:r>
        <w:rPr>
          <w:sz w:val="28"/>
          <w:szCs w:val="28"/>
        </w:rPr>
        <w:t>- Về số lượng cán bộ, công chức cấp xã: Có 133 xã bố trí số lượng đảm bảo theo Nghị quyết số 156/2019/NQ-HĐND, còn 129 xã chưa đảm bảo số lượng theo Nghị quyết, do các xã thực hiện sắp xếp đơn vị hành chính chưa xử</w:t>
      </w:r>
      <w:r w:rsidR="008029A1">
        <w:rPr>
          <w:sz w:val="28"/>
          <w:szCs w:val="28"/>
        </w:rPr>
        <w:t xml:space="preserve"> lý xong</w:t>
      </w:r>
      <w:r>
        <w:rPr>
          <w:sz w:val="28"/>
          <w:szCs w:val="28"/>
        </w:rPr>
        <w:t xml:space="preserve"> cán bộ, công chức dôi dư. Số lượng cán bộ, công chức bình quân là 19 cán bộ, công chức/xã.</w:t>
      </w:r>
    </w:p>
    <w:p w:rsidR="00D038E0" w:rsidRDefault="00D038E0" w:rsidP="00D038E0">
      <w:pPr>
        <w:spacing w:before="120" w:after="0" w:line="240" w:lineRule="auto"/>
        <w:ind w:firstLine="720"/>
        <w:jc w:val="both"/>
        <w:rPr>
          <w:sz w:val="28"/>
          <w:szCs w:val="28"/>
        </w:rPr>
      </w:pPr>
      <w:r>
        <w:rPr>
          <w:sz w:val="28"/>
          <w:szCs w:val="28"/>
        </w:rPr>
        <w:lastRenderedPageBreak/>
        <w:t xml:space="preserve">- Về số lượng người hoạt động không chuyên trách cấp xã: Có </w:t>
      </w:r>
      <w:r w:rsidRPr="00D038E0">
        <w:rPr>
          <w:sz w:val="28"/>
          <w:szCs w:val="28"/>
        </w:rPr>
        <w:t>242</w:t>
      </w:r>
      <w:r>
        <w:rPr>
          <w:sz w:val="28"/>
          <w:szCs w:val="28"/>
        </w:rPr>
        <w:t xml:space="preserve"> xã bố trí dưới hoặc 08 người, </w:t>
      </w:r>
      <w:r w:rsidRPr="00D038E0">
        <w:rPr>
          <w:sz w:val="28"/>
          <w:szCs w:val="28"/>
        </w:rPr>
        <w:t>20</w:t>
      </w:r>
      <w:r>
        <w:rPr>
          <w:sz w:val="28"/>
          <w:szCs w:val="28"/>
        </w:rPr>
        <w:t xml:space="preserve"> xã bố trí 09 người. Số người hoạt động không chuyên trách cấp xã bình quân là 8,05 người/xã.</w:t>
      </w:r>
    </w:p>
    <w:p w:rsidR="0094090D" w:rsidRDefault="00210EAF" w:rsidP="00A40EAA">
      <w:pPr>
        <w:spacing w:before="120" w:after="0" w:line="240" w:lineRule="auto"/>
        <w:ind w:firstLine="720"/>
        <w:jc w:val="both"/>
        <w:rPr>
          <w:sz w:val="28"/>
          <w:szCs w:val="28"/>
        </w:rPr>
      </w:pPr>
      <w:r>
        <w:rPr>
          <w:sz w:val="28"/>
          <w:szCs w:val="28"/>
        </w:rPr>
        <w:t xml:space="preserve">Quá trình triển khai thực hiện, </w:t>
      </w:r>
      <w:r w:rsidR="008C2C48">
        <w:rPr>
          <w:sz w:val="28"/>
          <w:szCs w:val="28"/>
        </w:rPr>
        <w:t xml:space="preserve">thực tiễn </w:t>
      </w:r>
      <w:r>
        <w:rPr>
          <w:sz w:val="28"/>
          <w:szCs w:val="28"/>
        </w:rPr>
        <w:t xml:space="preserve">phát sinh một số khó khăn, vướng mắc, </w:t>
      </w:r>
      <w:r w:rsidR="00F00F71">
        <w:rPr>
          <w:sz w:val="28"/>
          <w:szCs w:val="28"/>
        </w:rPr>
        <w:t>UBND</w:t>
      </w:r>
      <w:r>
        <w:rPr>
          <w:sz w:val="28"/>
          <w:szCs w:val="28"/>
        </w:rPr>
        <w:t xml:space="preserve"> tỉnh đã giao Sở Nội vụ, Sở Tài chính và các cơ quan nghiên cứu, tham mưu, đề xuất hướng giải quyết. </w:t>
      </w:r>
    </w:p>
    <w:p w:rsidR="008C2C48" w:rsidRDefault="008C2C48" w:rsidP="00A40EAA">
      <w:pPr>
        <w:spacing w:before="120" w:after="0" w:line="240" w:lineRule="auto"/>
        <w:ind w:firstLine="720"/>
        <w:jc w:val="both"/>
        <w:rPr>
          <w:b/>
          <w:sz w:val="28"/>
          <w:szCs w:val="28"/>
        </w:rPr>
      </w:pPr>
      <w:r w:rsidRPr="008C2C48">
        <w:rPr>
          <w:b/>
          <w:sz w:val="28"/>
          <w:szCs w:val="28"/>
        </w:rPr>
        <w:t xml:space="preserve">2. </w:t>
      </w:r>
      <w:r w:rsidR="00210EAF" w:rsidRPr="008C2C48">
        <w:rPr>
          <w:b/>
          <w:sz w:val="28"/>
          <w:szCs w:val="28"/>
        </w:rPr>
        <w:t>Về</w:t>
      </w:r>
      <w:r w:rsidR="009C7B5D" w:rsidRPr="008C2C48">
        <w:rPr>
          <w:b/>
          <w:sz w:val="28"/>
          <w:szCs w:val="28"/>
        </w:rPr>
        <w:t xml:space="preserve"> các vấn đề </w:t>
      </w:r>
      <w:r w:rsidR="00A40EAA" w:rsidRPr="008C2C48">
        <w:rPr>
          <w:b/>
          <w:sz w:val="28"/>
          <w:szCs w:val="28"/>
        </w:rPr>
        <w:t xml:space="preserve">các địa phương, </w:t>
      </w:r>
      <w:r w:rsidR="009C7B5D" w:rsidRPr="008C2C48">
        <w:rPr>
          <w:b/>
          <w:sz w:val="28"/>
          <w:szCs w:val="28"/>
        </w:rPr>
        <w:t>cử tri có ý kiến, kiến nghị trong quá trình triển khai Nghị quyết số</w:t>
      </w:r>
      <w:r w:rsidR="006F49B7" w:rsidRPr="008C2C48">
        <w:rPr>
          <w:b/>
          <w:sz w:val="28"/>
          <w:szCs w:val="28"/>
        </w:rPr>
        <w:t xml:space="preserve"> 156/2019/NQ-</w:t>
      </w:r>
      <w:r>
        <w:rPr>
          <w:b/>
          <w:sz w:val="28"/>
          <w:szCs w:val="28"/>
        </w:rPr>
        <w:t>HĐND:</w:t>
      </w:r>
    </w:p>
    <w:p w:rsidR="00C75DEB" w:rsidRPr="008C2C48" w:rsidRDefault="008C2C48" w:rsidP="00A40EAA">
      <w:pPr>
        <w:spacing w:before="120" w:after="0" w:line="240" w:lineRule="auto"/>
        <w:ind w:firstLine="720"/>
        <w:jc w:val="both"/>
        <w:rPr>
          <w:sz w:val="28"/>
          <w:szCs w:val="28"/>
        </w:rPr>
      </w:pPr>
      <w:r w:rsidRPr="008C2C48">
        <w:rPr>
          <w:sz w:val="28"/>
          <w:szCs w:val="28"/>
        </w:rPr>
        <w:t xml:space="preserve">Nội dung này, </w:t>
      </w:r>
      <w:r w:rsidR="00F00F71" w:rsidRPr="008C2C48">
        <w:rPr>
          <w:sz w:val="28"/>
          <w:szCs w:val="28"/>
        </w:rPr>
        <w:t>UBND</w:t>
      </w:r>
      <w:r w:rsidR="00A40EAA" w:rsidRPr="008C2C48">
        <w:rPr>
          <w:sz w:val="28"/>
          <w:szCs w:val="28"/>
        </w:rPr>
        <w:t xml:space="preserve"> tỉnh </w:t>
      </w:r>
      <w:r w:rsidR="00F00F71" w:rsidRPr="008C2C48">
        <w:rPr>
          <w:sz w:val="28"/>
          <w:szCs w:val="28"/>
        </w:rPr>
        <w:t>báo cáo</w:t>
      </w:r>
      <w:r w:rsidR="00592C31">
        <w:rPr>
          <w:sz w:val="28"/>
          <w:szCs w:val="28"/>
        </w:rPr>
        <w:t xml:space="preserve"> </w:t>
      </w:r>
      <w:r w:rsidR="00BF49C2" w:rsidRPr="008C2C48">
        <w:rPr>
          <w:sz w:val="28"/>
          <w:szCs w:val="28"/>
        </w:rPr>
        <w:t xml:space="preserve">như sau: </w:t>
      </w:r>
    </w:p>
    <w:p w:rsidR="003B69DB" w:rsidRPr="008C2C48" w:rsidRDefault="00A40EAA" w:rsidP="00A40EAA">
      <w:pPr>
        <w:spacing w:before="120" w:after="0" w:line="240" w:lineRule="auto"/>
        <w:ind w:firstLine="720"/>
        <w:jc w:val="both"/>
        <w:rPr>
          <w:b/>
          <w:i/>
          <w:sz w:val="28"/>
          <w:szCs w:val="28"/>
        </w:rPr>
      </w:pPr>
      <w:r w:rsidRPr="008C2C48">
        <w:rPr>
          <w:b/>
          <w:i/>
          <w:sz w:val="28"/>
          <w:szCs w:val="28"/>
        </w:rPr>
        <w:t>1.</w:t>
      </w:r>
      <w:r w:rsidR="00592C31">
        <w:rPr>
          <w:b/>
          <w:i/>
          <w:sz w:val="28"/>
          <w:szCs w:val="28"/>
        </w:rPr>
        <w:t xml:space="preserve">1. </w:t>
      </w:r>
      <w:r w:rsidR="003B69DB" w:rsidRPr="008C2C48">
        <w:rPr>
          <w:b/>
          <w:i/>
          <w:sz w:val="28"/>
          <w:szCs w:val="28"/>
        </w:rPr>
        <w:t>Về mức khoán chi phụ cấp đối với người hoạt động không chuyên trách cấp xã:</w:t>
      </w:r>
    </w:p>
    <w:p w:rsidR="003B69DB" w:rsidRPr="0054287C" w:rsidRDefault="003B69DB" w:rsidP="00A40EAA">
      <w:pPr>
        <w:spacing w:before="120" w:after="0" w:line="240" w:lineRule="auto"/>
        <w:ind w:firstLine="720"/>
        <w:jc w:val="both"/>
        <w:rPr>
          <w:sz w:val="28"/>
          <w:szCs w:val="28"/>
        </w:rPr>
      </w:pPr>
      <w:r w:rsidRPr="0054287C">
        <w:rPr>
          <w:sz w:val="28"/>
          <w:szCs w:val="28"/>
        </w:rPr>
        <w:t>Theo quy định tạ</w:t>
      </w:r>
      <w:r w:rsidR="00A40EAA">
        <w:rPr>
          <w:sz w:val="28"/>
          <w:szCs w:val="28"/>
        </w:rPr>
        <w:t>i K</w:t>
      </w:r>
      <w:r w:rsidRPr="0054287C">
        <w:rPr>
          <w:sz w:val="28"/>
          <w:szCs w:val="28"/>
        </w:rPr>
        <w:t>hoả</w:t>
      </w:r>
      <w:r w:rsidR="00A40EAA">
        <w:rPr>
          <w:sz w:val="28"/>
          <w:szCs w:val="28"/>
        </w:rPr>
        <w:t>n 4, K</w:t>
      </w:r>
      <w:r w:rsidRPr="0054287C">
        <w:rPr>
          <w:sz w:val="28"/>
          <w:szCs w:val="28"/>
        </w:rPr>
        <w:t>hoản 5 Điều 2, Nghị định số 34/2019/NĐ-CP ngày 24/4/2019 của Chính phủ, thì số lượng và mức khoán phụ cấp đối với người hoạt động không chuyên trách cấ</w:t>
      </w:r>
      <w:r w:rsidR="00A40EAA">
        <w:rPr>
          <w:sz w:val="28"/>
          <w:szCs w:val="28"/>
        </w:rPr>
        <w:t>p xã như sau: X</w:t>
      </w:r>
      <w:r w:rsidRPr="0054287C">
        <w:rPr>
          <w:sz w:val="28"/>
          <w:szCs w:val="28"/>
        </w:rPr>
        <w:t>ã loại 1 tối đa không quá 14 người, được khoán quỹ phụ bằng 16,0 lần mức lương cơ sở; xã loại 2 tối đa không quá 12 người, được khoán quỹ phụ cấp bằng 13,7 lần mức lương cơ sở; xã loại 3 tối đa không quá 10 người, được khoán quỹ phụ cấp bằng 11,4 lần mức lương cơ sở. Theo đó, bình quân phụ cấp theo Nghị định số 34/2019/NĐ-CP là 1,14/1 người hoạt động không chuyên trách cấp xã.</w:t>
      </w:r>
    </w:p>
    <w:p w:rsidR="003B69DB" w:rsidRPr="0054287C" w:rsidRDefault="00A40EAA" w:rsidP="00A40EAA">
      <w:pPr>
        <w:spacing w:before="120" w:after="0" w:line="240" w:lineRule="auto"/>
        <w:ind w:firstLine="720"/>
        <w:jc w:val="both"/>
        <w:rPr>
          <w:sz w:val="28"/>
          <w:szCs w:val="28"/>
        </w:rPr>
      </w:pPr>
      <w:r>
        <w:rPr>
          <w:sz w:val="28"/>
          <w:szCs w:val="28"/>
        </w:rPr>
        <w:t>K</w:t>
      </w:r>
      <w:r w:rsidR="003B69DB" w:rsidRPr="0054287C">
        <w:rPr>
          <w:sz w:val="28"/>
          <w:szCs w:val="28"/>
        </w:rPr>
        <w:t>hoả</w:t>
      </w:r>
      <w:r>
        <w:rPr>
          <w:sz w:val="28"/>
          <w:szCs w:val="28"/>
        </w:rPr>
        <w:t>n 2, K</w:t>
      </w:r>
      <w:r w:rsidR="003B69DB" w:rsidRPr="0054287C">
        <w:rPr>
          <w:sz w:val="28"/>
          <w:szCs w:val="28"/>
        </w:rPr>
        <w:t xml:space="preserve">hoản 3 Điều 4 Nghị quyết số 156/2019/NQ-HĐND </w:t>
      </w:r>
      <w:r w:rsidR="00D84EF2" w:rsidRPr="0054287C">
        <w:rPr>
          <w:sz w:val="28"/>
          <w:szCs w:val="28"/>
        </w:rPr>
        <w:t>quy đ</w:t>
      </w:r>
      <w:r>
        <w:rPr>
          <w:sz w:val="28"/>
          <w:szCs w:val="28"/>
        </w:rPr>
        <w:t>ị</w:t>
      </w:r>
      <w:r w:rsidR="00D84EF2" w:rsidRPr="0054287C">
        <w:rPr>
          <w:sz w:val="28"/>
          <w:szCs w:val="28"/>
        </w:rPr>
        <w:t>nh: S</w:t>
      </w:r>
      <w:r w:rsidR="003B69DB" w:rsidRPr="0054287C">
        <w:rPr>
          <w:sz w:val="28"/>
          <w:szCs w:val="28"/>
        </w:rPr>
        <w:t>ố lượng và mức khoán phụ phụ cấp đối với người hoạt động không chuyên trách cấp xã của tỉ</w:t>
      </w:r>
      <w:r w:rsidR="00B75EE1">
        <w:rPr>
          <w:sz w:val="28"/>
          <w:szCs w:val="28"/>
        </w:rPr>
        <w:t>nh Hà Tĩnh như sau:</w:t>
      </w:r>
      <w:r w:rsidR="00592C31">
        <w:rPr>
          <w:sz w:val="28"/>
          <w:szCs w:val="28"/>
        </w:rPr>
        <w:t xml:space="preserve"> </w:t>
      </w:r>
      <w:r w:rsidR="001C1960" w:rsidRPr="0054287C">
        <w:rPr>
          <w:sz w:val="28"/>
          <w:szCs w:val="28"/>
        </w:rPr>
        <w:t xml:space="preserve">Mỗi xã, phường, thị trấn bố trí không quá </w:t>
      </w:r>
      <w:r>
        <w:rPr>
          <w:sz w:val="28"/>
          <w:szCs w:val="28"/>
        </w:rPr>
        <w:t>0</w:t>
      </w:r>
      <w:r w:rsidR="001C1960" w:rsidRPr="0054287C">
        <w:rPr>
          <w:sz w:val="28"/>
          <w:szCs w:val="28"/>
        </w:rPr>
        <w:t xml:space="preserve">8 người; trong trường hợp cụ thể, không bố trí kiêm nhiệm thì bố trí tối đa không quá </w:t>
      </w:r>
      <w:r>
        <w:rPr>
          <w:sz w:val="28"/>
          <w:szCs w:val="28"/>
        </w:rPr>
        <w:t>0</w:t>
      </w:r>
      <w:r w:rsidR="001C1960" w:rsidRPr="0054287C">
        <w:rPr>
          <w:sz w:val="28"/>
          <w:szCs w:val="28"/>
        </w:rPr>
        <w:t>9 người</w:t>
      </w:r>
      <w:r w:rsidR="00B75EE1">
        <w:rPr>
          <w:sz w:val="28"/>
          <w:szCs w:val="28"/>
        </w:rPr>
        <w:t>;</w:t>
      </w:r>
      <w:r w:rsidR="00592C31">
        <w:rPr>
          <w:sz w:val="28"/>
          <w:szCs w:val="28"/>
        </w:rPr>
        <w:t xml:space="preserve"> </w:t>
      </w:r>
      <w:r w:rsidR="00B75EE1" w:rsidRPr="0054287C">
        <w:rPr>
          <w:sz w:val="28"/>
          <w:szCs w:val="28"/>
        </w:rPr>
        <w:t xml:space="preserve">xã loại 1 được khoán </w:t>
      </w:r>
      <w:r w:rsidR="003B69DB" w:rsidRPr="0054287C">
        <w:rPr>
          <w:sz w:val="28"/>
          <w:szCs w:val="28"/>
        </w:rPr>
        <w:t>quỹ</w:t>
      </w:r>
      <w:r w:rsidR="00592C31">
        <w:rPr>
          <w:sz w:val="28"/>
          <w:szCs w:val="28"/>
        </w:rPr>
        <w:t xml:space="preserve"> </w:t>
      </w:r>
      <w:r w:rsidR="003B69DB" w:rsidRPr="0054287C">
        <w:rPr>
          <w:sz w:val="28"/>
          <w:szCs w:val="28"/>
        </w:rPr>
        <w:t>phụ cấp bằng 16,0 lần mức lương cơ sở, xã loại 2 được khoán quỹ phụ cấp bằng 13,7 lần mức lương cơ sở, xã loại 3 được khoán quỹ phụ cấp bằng 11,4 lần mức lương cơ sở</w:t>
      </w:r>
      <w:r w:rsidR="00592C31">
        <w:rPr>
          <w:sz w:val="28"/>
          <w:szCs w:val="28"/>
        </w:rPr>
        <w:t xml:space="preserve">. </w:t>
      </w:r>
      <w:r w:rsidR="003B69DB" w:rsidRPr="0054287C">
        <w:rPr>
          <w:sz w:val="28"/>
          <w:szCs w:val="28"/>
        </w:rPr>
        <w:t xml:space="preserve">Theo đó, </w:t>
      </w:r>
      <w:r w:rsidR="006C72AC" w:rsidRPr="0054287C">
        <w:rPr>
          <w:sz w:val="28"/>
          <w:szCs w:val="28"/>
        </w:rPr>
        <w:t>mức khoán chi phụ cấp đối với 01 người hoạt động không chuyên trách cấp xã không được cao hơn 2,0 lần mức lương cơ sở/người/tháng (bố trí 08 người) và không được cao hơn 1,78 lần mức lương cơ sở/người/tháng (bố trí 09 người).</w:t>
      </w:r>
    </w:p>
    <w:p w:rsidR="003B69DB" w:rsidRDefault="003B69DB" w:rsidP="00A40EAA">
      <w:pPr>
        <w:spacing w:before="120" w:after="0" w:line="240" w:lineRule="auto"/>
        <w:ind w:firstLine="720"/>
        <w:jc w:val="both"/>
        <w:rPr>
          <w:sz w:val="28"/>
          <w:szCs w:val="28"/>
        </w:rPr>
      </w:pPr>
      <w:r w:rsidRPr="0054287C">
        <w:rPr>
          <w:sz w:val="28"/>
          <w:szCs w:val="28"/>
        </w:rPr>
        <w:t>Như vậy, so với quy định của Trung ương thì mức phụ cấp cho người hoạt động không chuyên trách cấp xã của tỉnh Hà Tĩnh cao hơn (trường hợp bố trí 8 người thì cao hơn 0,86; trường hợp bố trí 9 người thì cao hơn 0,64).</w:t>
      </w:r>
    </w:p>
    <w:p w:rsidR="003B69DB" w:rsidRPr="008C2C48" w:rsidRDefault="008C2C48" w:rsidP="00A40EAA">
      <w:pPr>
        <w:spacing w:before="120" w:after="0" w:line="240" w:lineRule="auto"/>
        <w:ind w:firstLine="720"/>
        <w:jc w:val="both"/>
        <w:rPr>
          <w:b/>
          <w:i/>
          <w:sz w:val="28"/>
          <w:szCs w:val="28"/>
        </w:rPr>
      </w:pPr>
      <w:r w:rsidRPr="008C2C48">
        <w:rPr>
          <w:b/>
          <w:i/>
          <w:sz w:val="28"/>
          <w:szCs w:val="28"/>
        </w:rPr>
        <w:t>1.</w:t>
      </w:r>
      <w:r w:rsidR="00A40EAA" w:rsidRPr="008C2C48">
        <w:rPr>
          <w:b/>
          <w:i/>
          <w:sz w:val="28"/>
          <w:szCs w:val="28"/>
        </w:rPr>
        <w:t>2.</w:t>
      </w:r>
      <w:r w:rsidR="003B69DB" w:rsidRPr="008C2C48">
        <w:rPr>
          <w:b/>
          <w:i/>
          <w:sz w:val="28"/>
          <w:szCs w:val="28"/>
        </w:rPr>
        <w:t xml:space="preserve"> Về mức khoán chi phụ cấp đối với người hoạt động không chuyên trách cấp thôn: </w:t>
      </w:r>
    </w:p>
    <w:p w:rsidR="003B69DB" w:rsidRPr="0054287C" w:rsidRDefault="00A40EAA" w:rsidP="00A40EAA">
      <w:pPr>
        <w:spacing w:before="120" w:after="0" w:line="240" w:lineRule="auto"/>
        <w:ind w:firstLine="720"/>
        <w:jc w:val="both"/>
        <w:rPr>
          <w:sz w:val="28"/>
          <w:szCs w:val="28"/>
        </w:rPr>
      </w:pPr>
      <w:r>
        <w:rPr>
          <w:sz w:val="28"/>
          <w:szCs w:val="28"/>
        </w:rPr>
        <w:t>Theo K</w:t>
      </w:r>
      <w:r w:rsidR="003B69DB" w:rsidRPr="0054287C">
        <w:rPr>
          <w:sz w:val="28"/>
          <w:szCs w:val="28"/>
        </w:rPr>
        <w:t>hoản 6</w:t>
      </w:r>
      <w:r>
        <w:rPr>
          <w:sz w:val="28"/>
          <w:szCs w:val="28"/>
        </w:rPr>
        <w:t>,</w:t>
      </w:r>
      <w:r w:rsidR="003B69DB" w:rsidRPr="0054287C">
        <w:rPr>
          <w:sz w:val="28"/>
          <w:szCs w:val="28"/>
        </w:rPr>
        <w:t xml:space="preserve"> Điều 2 Nghị định số 34/2019/NĐ-CP quy định: Người hoạt động không chuyên trách ở thôn, tổ dân phố có không quá 03 người được hưởng phụ cấp hàng tháng từ ngân sách nhà nước; Ngân sách nhà nước thực hiện mức khoán quỹ phụ cấp bằng 3,0 lần mức lương cơ sở để chi trả hàng tháng đối với người hoạt động không chuyên trách ở mỗi thôn, tổ dân phố. Theo đó, bình quân phụ cấp theo Nghị định số 34/2019/NĐ-CP là 1,0/1 người hoạt động không chuyên trách ở thôn, tổ dân phố.</w:t>
      </w:r>
    </w:p>
    <w:p w:rsidR="003B69DB" w:rsidRPr="0054287C" w:rsidRDefault="00A40EAA" w:rsidP="00A40EAA">
      <w:pPr>
        <w:spacing w:before="120" w:after="0" w:line="240" w:lineRule="auto"/>
        <w:ind w:firstLine="720"/>
        <w:jc w:val="both"/>
        <w:rPr>
          <w:sz w:val="28"/>
          <w:szCs w:val="28"/>
        </w:rPr>
      </w:pPr>
      <w:r>
        <w:rPr>
          <w:sz w:val="28"/>
          <w:szCs w:val="28"/>
        </w:rPr>
        <w:t>K</w:t>
      </w:r>
      <w:r w:rsidR="003B69DB" w:rsidRPr="0054287C">
        <w:rPr>
          <w:sz w:val="28"/>
          <w:szCs w:val="28"/>
        </w:rPr>
        <w:t>hoản 1</w:t>
      </w:r>
      <w:r>
        <w:rPr>
          <w:sz w:val="28"/>
          <w:szCs w:val="28"/>
        </w:rPr>
        <w:t>,</w:t>
      </w:r>
      <w:r w:rsidR="003B69DB" w:rsidRPr="0054287C">
        <w:rPr>
          <w:sz w:val="28"/>
          <w:szCs w:val="28"/>
        </w:rPr>
        <w:t xml:space="preserve"> Điều 5 Nghị quyết số 156/2019/NQ-HĐND</w:t>
      </w:r>
      <w:r w:rsidR="00592C31">
        <w:rPr>
          <w:sz w:val="28"/>
          <w:szCs w:val="28"/>
        </w:rPr>
        <w:t xml:space="preserve"> quy định</w:t>
      </w:r>
      <w:r w:rsidR="003B69DB" w:rsidRPr="0054287C">
        <w:rPr>
          <w:sz w:val="28"/>
          <w:szCs w:val="28"/>
        </w:rPr>
        <w:t>: Số lượng người hoạt động không chuyên trách ở thôn, tổ dân phố bố trí không quá 02 người; được khoán quỹ phụ cấ</w:t>
      </w:r>
      <w:r>
        <w:rPr>
          <w:sz w:val="28"/>
          <w:szCs w:val="28"/>
        </w:rPr>
        <w:t>p như sau: T</w:t>
      </w:r>
      <w:r w:rsidR="003B69DB" w:rsidRPr="0054287C">
        <w:rPr>
          <w:sz w:val="28"/>
          <w:szCs w:val="28"/>
        </w:rPr>
        <w:t>hôn, tổ dân phố loại 1 bằng 3,6 lần mức lương cơ sở; thôn, tổ dân phố loại 2 bằng 3,3 lần mức lương cơ sở; thôn tổ dân phố loại 3 bằng 3,0 lần mức lương cơ sở. Theo đó, bình quân phụ cấp theo Nghị quyết số</w:t>
      </w:r>
      <w:r>
        <w:rPr>
          <w:sz w:val="28"/>
          <w:szCs w:val="28"/>
        </w:rPr>
        <w:t xml:space="preserve"> 156/2019/NĐ-CP là: T</w:t>
      </w:r>
      <w:r w:rsidR="003B69DB" w:rsidRPr="0054287C">
        <w:rPr>
          <w:sz w:val="28"/>
          <w:szCs w:val="28"/>
        </w:rPr>
        <w:t>hôn, tổ dân phố loại 1: 1,8/1 người hoạt động không chuyên trách ở thôn, tổ dân phố;  thôn, tổ dân phố loại 2: 1,65/1 người hoạt động không chuyên trách ở thôn, tổ dân phố; thôn, tổ dân phố loại 3: 1,5/1 người hoạt động không chuyên trách ở thôn, tổ dân phố.</w:t>
      </w:r>
    </w:p>
    <w:p w:rsidR="00A40EAA" w:rsidRPr="0094090D" w:rsidRDefault="003B69DB" w:rsidP="0094090D">
      <w:pPr>
        <w:spacing w:before="120" w:after="0" w:line="240" w:lineRule="auto"/>
        <w:ind w:firstLine="720"/>
        <w:jc w:val="both"/>
        <w:rPr>
          <w:sz w:val="28"/>
          <w:szCs w:val="28"/>
        </w:rPr>
      </w:pPr>
      <w:r w:rsidRPr="0054287C">
        <w:rPr>
          <w:sz w:val="28"/>
          <w:szCs w:val="28"/>
        </w:rPr>
        <w:t>Như vậy, so với quy định của Trung ương thì mức phụ cấp cho người hoạt động không chuyên trách ở thôn, tổ dân phố của tỉnh Hà Tĩnh cao hơn (thôn, tổ dân phố loại 1 cao hơn 0,8; thôn, tổ dân phố loại 2 cao hơn 0,65; thôn, tổ dân phố loại 3 cao hơn 0,5).</w:t>
      </w:r>
    </w:p>
    <w:p w:rsidR="003B69DB" w:rsidRPr="008C2C48" w:rsidRDefault="008C2C48" w:rsidP="00A40EAA">
      <w:pPr>
        <w:spacing w:before="120" w:after="0" w:line="240" w:lineRule="auto"/>
        <w:ind w:firstLine="720"/>
        <w:jc w:val="both"/>
        <w:rPr>
          <w:b/>
          <w:i/>
          <w:sz w:val="28"/>
          <w:szCs w:val="28"/>
        </w:rPr>
      </w:pPr>
      <w:r w:rsidRPr="008C2C48">
        <w:rPr>
          <w:b/>
          <w:i/>
          <w:sz w:val="28"/>
          <w:szCs w:val="28"/>
        </w:rPr>
        <w:t>1.</w:t>
      </w:r>
      <w:r w:rsidR="00A40EAA" w:rsidRPr="008C2C48">
        <w:rPr>
          <w:b/>
          <w:i/>
          <w:sz w:val="28"/>
          <w:szCs w:val="28"/>
        </w:rPr>
        <w:t>3.</w:t>
      </w:r>
      <w:r w:rsidR="003B69DB" w:rsidRPr="008C2C48">
        <w:rPr>
          <w:b/>
          <w:i/>
          <w:sz w:val="28"/>
          <w:szCs w:val="28"/>
        </w:rPr>
        <w:t xml:space="preserve"> Về mức bồi dưỡng đối với người thực hiện nhiệm vụ khác ở thôn, tổ dân phố:</w:t>
      </w:r>
    </w:p>
    <w:p w:rsidR="003B69DB" w:rsidRPr="0054287C" w:rsidRDefault="003B69DB" w:rsidP="00A40EAA">
      <w:pPr>
        <w:spacing w:before="120" w:after="0" w:line="240" w:lineRule="auto"/>
        <w:ind w:firstLine="720"/>
        <w:jc w:val="both"/>
        <w:rPr>
          <w:b/>
          <w:i/>
          <w:sz w:val="28"/>
          <w:szCs w:val="28"/>
        </w:rPr>
      </w:pPr>
      <w:r w:rsidRPr="0054287C">
        <w:rPr>
          <w:sz w:val="28"/>
          <w:szCs w:val="28"/>
        </w:rPr>
        <w:t>Tạ</w:t>
      </w:r>
      <w:r w:rsidR="00A40EAA">
        <w:rPr>
          <w:sz w:val="28"/>
          <w:szCs w:val="28"/>
        </w:rPr>
        <w:t>i K</w:t>
      </w:r>
      <w:r w:rsidRPr="0054287C">
        <w:rPr>
          <w:sz w:val="28"/>
          <w:szCs w:val="28"/>
        </w:rPr>
        <w:t>hoản 6</w:t>
      </w:r>
      <w:r w:rsidR="00A40EAA">
        <w:rPr>
          <w:sz w:val="28"/>
          <w:szCs w:val="28"/>
        </w:rPr>
        <w:t>,</w:t>
      </w:r>
      <w:r w:rsidRPr="0054287C">
        <w:rPr>
          <w:sz w:val="28"/>
          <w:szCs w:val="28"/>
        </w:rPr>
        <w:t xml:space="preserve"> Điều 2 Nghị định số</w:t>
      </w:r>
      <w:r w:rsidR="00D413A7" w:rsidRPr="0054287C">
        <w:rPr>
          <w:sz w:val="28"/>
          <w:szCs w:val="28"/>
        </w:rPr>
        <w:t xml:space="preserve"> 34/2019/NĐ-CP </w:t>
      </w:r>
      <w:r w:rsidRPr="0054287C">
        <w:rPr>
          <w:sz w:val="28"/>
          <w:szCs w:val="28"/>
        </w:rPr>
        <w:t xml:space="preserve">quy định: Người tham gia công việc ở thôn, tổ dân phố ngoài 03 chức danh (Bí thư chi bộ, Trưởng thôn hoặc Tổ trưởng tổ dân phố, Trưởng ban công tác mặt trận) </w:t>
      </w:r>
      <w:r w:rsidRPr="0054287C">
        <w:rPr>
          <w:b/>
          <w:i/>
          <w:sz w:val="28"/>
          <w:szCs w:val="28"/>
        </w:rPr>
        <w:t xml:space="preserve">không hưởng phụ cấp hàng tháng mà được hưởng bồi dưỡng trực tiếp tham gia vào công việc của thôn, tổ dân phố từ đoàn phí, hội phí khoán cho các đoàn thể và từ các nguồn quỹ khác (nếu có). </w:t>
      </w:r>
      <w:r w:rsidRPr="00592C31">
        <w:rPr>
          <w:b/>
          <w:i/>
          <w:sz w:val="28"/>
          <w:szCs w:val="28"/>
        </w:rPr>
        <w:t xml:space="preserve">Theo đó, người thực hiện nhiệm vụ khác ở thôn, tổ dân phố không </w:t>
      </w:r>
      <w:r w:rsidR="003B5428" w:rsidRPr="00592C31">
        <w:rPr>
          <w:b/>
          <w:i/>
          <w:sz w:val="28"/>
          <w:szCs w:val="28"/>
        </w:rPr>
        <w:t>c</w:t>
      </w:r>
      <w:r w:rsidR="00953FAF" w:rsidRPr="00592C31">
        <w:rPr>
          <w:b/>
          <w:i/>
          <w:sz w:val="28"/>
          <w:szCs w:val="28"/>
        </w:rPr>
        <w:t>òn</w:t>
      </w:r>
      <w:r w:rsidR="003B5428" w:rsidRPr="00592C31">
        <w:rPr>
          <w:b/>
          <w:i/>
          <w:sz w:val="28"/>
          <w:szCs w:val="28"/>
        </w:rPr>
        <w:t xml:space="preserve"> chức danh khác ở thôn</w:t>
      </w:r>
      <w:r w:rsidRPr="00592C31">
        <w:rPr>
          <w:b/>
          <w:i/>
          <w:sz w:val="28"/>
          <w:szCs w:val="28"/>
        </w:rPr>
        <w:t>,</w:t>
      </w:r>
      <w:r w:rsidR="00592C31">
        <w:rPr>
          <w:b/>
          <w:i/>
          <w:sz w:val="28"/>
          <w:szCs w:val="28"/>
        </w:rPr>
        <w:t xml:space="preserve"> tổ dân phố</w:t>
      </w:r>
      <w:r w:rsidRPr="00592C31">
        <w:rPr>
          <w:b/>
          <w:i/>
          <w:sz w:val="28"/>
          <w:szCs w:val="28"/>
        </w:rPr>
        <w:t xml:space="preserve"> mà </w:t>
      </w:r>
      <w:r w:rsidR="003B5428" w:rsidRPr="00592C31">
        <w:rPr>
          <w:b/>
          <w:i/>
          <w:sz w:val="28"/>
          <w:szCs w:val="28"/>
        </w:rPr>
        <w:t xml:space="preserve">chỉ </w:t>
      </w:r>
      <w:r w:rsidRPr="00592C31">
        <w:rPr>
          <w:b/>
          <w:i/>
          <w:sz w:val="28"/>
          <w:szCs w:val="28"/>
        </w:rPr>
        <w:t>được</w:t>
      </w:r>
      <w:r w:rsidRPr="0054287C">
        <w:rPr>
          <w:b/>
          <w:i/>
          <w:sz w:val="28"/>
          <w:szCs w:val="28"/>
        </w:rPr>
        <w:t xml:space="preserve"> hưởng bồi dưỡng khi tham gia các công việc ở thôn, tổ dân phố từ đoàn phí, hội phí khoán cho các đoàn thể và các nguồn quỹ khác (nếu có).</w:t>
      </w:r>
    </w:p>
    <w:p w:rsidR="00FD368A" w:rsidRPr="0054287C" w:rsidRDefault="00D102A7" w:rsidP="00A40EAA">
      <w:pPr>
        <w:spacing w:before="120" w:after="0" w:line="240" w:lineRule="auto"/>
        <w:ind w:firstLine="720"/>
        <w:jc w:val="both"/>
        <w:rPr>
          <w:sz w:val="28"/>
          <w:szCs w:val="28"/>
        </w:rPr>
      </w:pPr>
      <w:r w:rsidRPr="0054287C">
        <w:rPr>
          <w:sz w:val="28"/>
          <w:szCs w:val="28"/>
        </w:rPr>
        <w:t>Ở tỉnh ta (tại khoản 2</w:t>
      </w:r>
      <w:r w:rsidR="00A40EAA">
        <w:rPr>
          <w:sz w:val="28"/>
          <w:szCs w:val="28"/>
        </w:rPr>
        <w:t>,</w:t>
      </w:r>
      <w:r w:rsidRPr="0054287C">
        <w:rPr>
          <w:sz w:val="28"/>
          <w:szCs w:val="28"/>
        </w:rPr>
        <w:t xml:space="preserve"> Điều 5 Nghị quyết số 156/2019/NQ-HĐND),</w:t>
      </w:r>
      <w:r w:rsidR="003B69DB" w:rsidRPr="0054287C">
        <w:rPr>
          <w:sz w:val="28"/>
          <w:szCs w:val="28"/>
        </w:rPr>
        <w:t xml:space="preserve"> ngoài mức quy định của Chính phủ (tại khoản 6</w:t>
      </w:r>
      <w:r w:rsidR="00A40EAA">
        <w:rPr>
          <w:sz w:val="28"/>
          <w:szCs w:val="28"/>
        </w:rPr>
        <w:t>,</w:t>
      </w:r>
      <w:r w:rsidR="003B69DB" w:rsidRPr="0054287C">
        <w:rPr>
          <w:sz w:val="28"/>
          <w:szCs w:val="28"/>
        </w:rPr>
        <w:t xml:space="preserve"> Điều 2 Nghị định số 34/2019/NĐ-CP), </w:t>
      </w:r>
      <w:r w:rsidRPr="0054287C">
        <w:rPr>
          <w:sz w:val="28"/>
          <w:szCs w:val="28"/>
        </w:rPr>
        <w:t>t</w:t>
      </w:r>
      <w:r w:rsidR="003B69DB" w:rsidRPr="0054287C">
        <w:rPr>
          <w:sz w:val="28"/>
          <w:szCs w:val="28"/>
        </w:rPr>
        <w:t>rên cơ sở cân đối ngân sách tỉnh đã hỗ trợ thêm nguồn kinh phí để các thôn, tổ dân phố chi trả bồi dưỡng theo nhiệm vụ khi cần cho người thực hiện các nhiệm vụ khác ở thôn, tổ dân phố (thôn, tổ dân phố loại 1 được hỗ trợ 25 triệu đồng/thôn, tổ dân phố/năm; thôn, tổ dân phố loại 2 được hỗ trợ 22 triệu đồng/thôn, tổ dân phố/năm; thôn, tổ dân phố loại 3 được hỗ trợ 20 triệu đồng/thôn, tổ dân phố/năm).</w:t>
      </w:r>
      <w:r w:rsidR="001C6399" w:rsidRPr="0054287C">
        <w:rPr>
          <w:sz w:val="28"/>
          <w:szCs w:val="28"/>
        </w:rPr>
        <w:t xml:space="preserve"> Với mức quy định này, hàng năm ngân sách tỉnh sẽ phải chi tăng (so với quy định của Chính phủ) khoả</w:t>
      </w:r>
      <w:r w:rsidR="00A40EAA">
        <w:rPr>
          <w:sz w:val="28"/>
          <w:szCs w:val="28"/>
        </w:rPr>
        <w:t xml:space="preserve">ng </w:t>
      </w:r>
      <w:r w:rsidR="001C6399" w:rsidRPr="0054287C">
        <w:rPr>
          <w:sz w:val="28"/>
          <w:szCs w:val="28"/>
        </w:rPr>
        <w:t xml:space="preserve">45 tỷ đồng. </w:t>
      </w:r>
      <w:r w:rsidR="00234F51">
        <w:rPr>
          <w:sz w:val="28"/>
          <w:szCs w:val="28"/>
        </w:rPr>
        <w:t>Mặc dù, Nghị quyết số 156/2019/NQ-HĐND ban hành trước khi có Thông tư số 13/2019/TT-BNV của Bộ Nội vụ nhưng các nội dung đều phù hợp với Thông tư số 13/2019/TT-BNV.</w:t>
      </w:r>
    </w:p>
    <w:p w:rsidR="00234F51" w:rsidRDefault="006C72AC" w:rsidP="00A40EAA">
      <w:pPr>
        <w:spacing w:before="120" w:after="0" w:line="240" w:lineRule="auto"/>
        <w:ind w:firstLine="720"/>
        <w:jc w:val="both"/>
        <w:rPr>
          <w:sz w:val="28"/>
          <w:szCs w:val="28"/>
        </w:rPr>
      </w:pPr>
      <w:r w:rsidRPr="0054287C">
        <w:rPr>
          <w:sz w:val="28"/>
          <w:szCs w:val="28"/>
        </w:rPr>
        <w:t xml:space="preserve">Như vậy, việc tính mức bồi dưỡng cho người thực hiện các nhiệm vụ khác ở thôn, tổ dân phố gồm: </w:t>
      </w:r>
      <w:r w:rsidR="00A40EAA">
        <w:rPr>
          <w:sz w:val="28"/>
          <w:szCs w:val="28"/>
        </w:rPr>
        <w:t>N</w:t>
      </w:r>
      <w:r w:rsidRPr="0054287C">
        <w:rPr>
          <w:sz w:val="28"/>
          <w:szCs w:val="28"/>
        </w:rPr>
        <w:t>guồn từ đoàn phí, hội phí và mức hỗ trợ của tỉnh tương ứng với loại thôn, tổ dân phố như đã nêu trên.</w:t>
      </w:r>
    </w:p>
    <w:p w:rsidR="00DB3630" w:rsidRDefault="00A40EAA" w:rsidP="00A40EAA">
      <w:pPr>
        <w:spacing w:before="120" w:after="0" w:line="240" w:lineRule="auto"/>
        <w:ind w:firstLine="720"/>
        <w:jc w:val="both"/>
        <w:rPr>
          <w:sz w:val="28"/>
          <w:szCs w:val="28"/>
        </w:rPr>
      </w:pPr>
      <w:r>
        <w:rPr>
          <w:sz w:val="28"/>
          <w:szCs w:val="28"/>
        </w:rPr>
        <w:t>Tuy vậy</w:t>
      </w:r>
      <w:r w:rsidR="00B561E8" w:rsidRPr="0054287C">
        <w:rPr>
          <w:sz w:val="28"/>
          <w:szCs w:val="28"/>
        </w:rPr>
        <w:t>, hiện nay quá trình triển khai thực hiện Nghị quyết tại các địa phương, các thôn, tổ dân phố</w:t>
      </w:r>
      <w:r w:rsidR="00592C31">
        <w:rPr>
          <w:sz w:val="28"/>
          <w:szCs w:val="28"/>
        </w:rPr>
        <w:t>, do</w:t>
      </w:r>
      <w:r w:rsidR="00525F76">
        <w:rPr>
          <w:sz w:val="28"/>
          <w:szCs w:val="28"/>
        </w:rPr>
        <w:t xml:space="preserve"> </w:t>
      </w:r>
      <w:r w:rsidR="00525F76" w:rsidRPr="00592C31">
        <w:rPr>
          <w:sz w:val="28"/>
          <w:szCs w:val="28"/>
        </w:rPr>
        <w:t>tuyên truyền chưa kỹ nên các cấp, đặc biệt là cấp xã xác định đây là phụ cấp chức danh làm các công việc khác ở thôn,</w:t>
      </w:r>
      <w:r w:rsidR="00592C31" w:rsidRPr="00592C31">
        <w:rPr>
          <w:sz w:val="28"/>
          <w:szCs w:val="28"/>
        </w:rPr>
        <w:t xml:space="preserve"> tổ dân phố</w:t>
      </w:r>
      <w:r w:rsidR="00525F76" w:rsidRPr="00592C31">
        <w:rPr>
          <w:sz w:val="28"/>
          <w:szCs w:val="28"/>
        </w:rPr>
        <w:t xml:space="preserve"> còn các </w:t>
      </w:r>
      <w:r w:rsidR="00533D2E" w:rsidRPr="00592C31">
        <w:rPr>
          <w:sz w:val="28"/>
          <w:szCs w:val="28"/>
        </w:rPr>
        <w:t xml:space="preserve">chức </w:t>
      </w:r>
      <w:r w:rsidR="00525F76" w:rsidRPr="00592C31">
        <w:rPr>
          <w:sz w:val="28"/>
          <w:szCs w:val="28"/>
        </w:rPr>
        <w:t>danh thì cho rằng</w:t>
      </w:r>
      <w:r w:rsidR="00592C31">
        <w:rPr>
          <w:sz w:val="28"/>
          <w:szCs w:val="28"/>
        </w:rPr>
        <w:t xml:space="preserve"> như thế</w:t>
      </w:r>
      <w:r w:rsidR="00525F76" w:rsidRPr="00592C31">
        <w:rPr>
          <w:sz w:val="28"/>
          <w:szCs w:val="28"/>
        </w:rPr>
        <w:t xml:space="preserve"> </w:t>
      </w:r>
      <w:bookmarkStart w:id="0" w:name="_GoBack"/>
      <w:bookmarkEnd w:id="0"/>
      <w:r w:rsidR="00525F76" w:rsidRPr="00592C31">
        <w:rPr>
          <w:sz w:val="28"/>
          <w:szCs w:val="28"/>
        </w:rPr>
        <w:t xml:space="preserve">bị giảm phụ cấp </w:t>
      </w:r>
      <w:r w:rsidR="00592C31">
        <w:rPr>
          <w:sz w:val="28"/>
          <w:szCs w:val="28"/>
        </w:rPr>
        <w:t xml:space="preserve">và </w:t>
      </w:r>
      <w:r w:rsidR="00525F76" w:rsidRPr="00592C31">
        <w:rPr>
          <w:sz w:val="28"/>
          <w:szCs w:val="28"/>
        </w:rPr>
        <w:t xml:space="preserve">chưa nhận thức </w:t>
      </w:r>
      <w:r w:rsidR="00DB3630" w:rsidRPr="00592C31">
        <w:rPr>
          <w:sz w:val="28"/>
          <w:szCs w:val="28"/>
        </w:rPr>
        <w:t>được kinh phí ngân sách hỗ trợ là để thực hiện các công việc cụ thể khi thôn, tổ dân phố thấy cần</w:t>
      </w:r>
      <w:r w:rsidR="00B561E8" w:rsidRPr="00592C31">
        <w:rPr>
          <w:sz w:val="28"/>
          <w:szCs w:val="28"/>
        </w:rPr>
        <w:t>.</w:t>
      </w:r>
      <w:r w:rsidR="00B561E8" w:rsidRPr="0054287C">
        <w:rPr>
          <w:sz w:val="28"/>
          <w:szCs w:val="28"/>
        </w:rPr>
        <w:t xml:space="preserve"> Vì vậy, đề nghị các địa phương tiếp tục tuyên truyền, quán triệt hướng dẫn các thôn, tổ dân phố quy định mức bồi dưỡng từ </w:t>
      </w:r>
      <w:r w:rsidR="00CD3E3D" w:rsidRPr="0054287C">
        <w:rPr>
          <w:sz w:val="28"/>
          <w:szCs w:val="28"/>
        </w:rPr>
        <w:t>hai</w:t>
      </w:r>
      <w:r w:rsidR="00B561E8" w:rsidRPr="0054287C">
        <w:rPr>
          <w:sz w:val="28"/>
          <w:szCs w:val="28"/>
        </w:rPr>
        <w:t xml:space="preserve"> nguồ</w:t>
      </w:r>
      <w:r>
        <w:rPr>
          <w:sz w:val="28"/>
          <w:szCs w:val="28"/>
        </w:rPr>
        <w:t>n: N</w:t>
      </w:r>
      <w:r w:rsidR="00B561E8" w:rsidRPr="0054287C">
        <w:rPr>
          <w:sz w:val="28"/>
          <w:szCs w:val="28"/>
        </w:rPr>
        <w:t xml:space="preserve">guồn từ đoàn phí, hội phí và nguồn hỗ trợ của tỉnh để đảm bảo theo </w:t>
      </w:r>
      <w:r>
        <w:rPr>
          <w:sz w:val="28"/>
          <w:szCs w:val="28"/>
        </w:rPr>
        <w:t xml:space="preserve">đúng </w:t>
      </w:r>
      <w:r w:rsidR="00B561E8" w:rsidRPr="0054287C">
        <w:rPr>
          <w:sz w:val="28"/>
          <w:szCs w:val="28"/>
        </w:rPr>
        <w:t>tinh thần của Nghị quyết số 156/2019/NQ-HĐND và Nghị định số 34/2019/NĐ-CP của Chính phủ.</w:t>
      </w:r>
      <w:r w:rsidR="000D09D9">
        <w:rPr>
          <w:sz w:val="28"/>
          <w:szCs w:val="28"/>
        </w:rPr>
        <w:t xml:space="preserve"> Đồng thời, trên cơ sở cân đối nguồn</w:t>
      </w:r>
      <w:r w:rsidR="00DB3630">
        <w:rPr>
          <w:sz w:val="28"/>
          <w:szCs w:val="28"/>
        </w:rPr>
        <w:t xml:space="preserve"> </w:t>
      </w:r>
      <w:r w:rsidR="00FC6096" w:rsidRPr="00F45ABC">
        <w:rPr>
          <w:sz w:val="28"/>
          <w:szCs w:val="28"/>
        </w:rPr>
        <w:t>ngân sách của địa phương</w:t>
      </w:r>
      <w:r w:rsidR="00FC6096">
        <w:rPr>
          <w:sz w:val="28"/>
          <w:szCs w:val="28"/>
        </w:rPr>
        <w:t>, UBND cấp huyện, cấp xã</w:t>
      </w:r>
      <w:r w:rsidR="00592C31">
        <w:rPr>
          <w:sz w:val="28"/>
          <w:szCs w:val="28"/>
        </w:rPr>
        <w:t xml:space="preserve"> </w:t>
      </w:r>
      <w:r w:rsidR="00FC6096">
        <w:rPr>
          <w:sz w:val="28"/>
          <w:szCs w:val="28"/>
        </w:rPr>
        <w:t>có thể</w:t>
      </w:r>
      <w:r w:rsidR="00FC6096" w:rsidRPr="00F45ABC">
        <w:rPr>
          <w:sz w:val="28"/>
          <w:szCs w:val="28"/>
        </w:rPr>
        <w:t xml:space="preserve"> bố trí thêm kinh phí để chi trả phụ cấp cho người không chuyên trách cấp xã, thôn, tổ dân phố</w:t>
      </w:r>
      <w:r w:rsidR="00DB3630">
        <w:rPr>
          <w:sz w:val="28"/>
          <w:szCs w:val="28"/>
        </w:rPr>
        <w:t>.</w:t>
      </w:r>
      <w:r w:rsidR="00FC6096">
        <w:rPr>
          <w:sz w:val="28"/>
          <w:szCs w:val="28"/>
        </w:rPr>
        <w:t xml:space="preserve"> </w:t>
      </w:r>
    </w:p>
    <w:p w:rsidR="003B69DB" w:rsidRPr="0054287C" w:rsidRDefault="00B22A7B" w:rsidP="00A40EAA">
      <w:pPr>
        <w:spacing w:before="120" w:after="0" w:line="240" w:lineRule="auto"/>
        <w:ind w:firstLine="720"/>
        <w:jc w:val="both"/>
        <w:rPr>
          <w:sz w:val="28"/>
          <w:szCs w:val="28"/>
        </w:rPr>
      </w:pPr>
      <w:r w:rsidRPr="0054287C">
        <w:rPr>
          <w:sz w:val="28"/>
          <w:szCs w:val="28"/>
        </w:rPr>
        <w:t>Tiếp thu ý kiến của cử tri</w:t>
      </w:r>
      <w:r w:rsidR="00234F51">
        <w:rPr>
          <w:sz w:val="28"/>
          <w:szCs w:val="28"/>
        </w:rPr>
        <w:t xml:space="preserve">, </w:t>
      </w:r>
      <w:r w:rsidRPr="0054287C">
        <w:rPr>
          <w:sz w:val="28"/>
          <w:szCs w:val="28"/>
        </w:rPr>
        <w:t>các đị</w:t>
      </w:r>
      <w:r w:rsidR="00234F51">
        <w:rPr>
          <w:sz w:val="28"/>
          <w:szCs w:val="28"/>
        </w:rPr>
        <w:t>a phương và</w:t>
      </w:r>
      <w:r w:rsidR="00592C31">
        <w:rPr>
          <w:sz w:val="28"/>
          <w:szCs w:val="28"/>
        </w:rPr>
        <w:t xml:space="preserve"> </w:t>
      </w:r>
      <w:r w:rsidR="00234F51">
        <w:rPr>
          <w:sz w:val="28"/>
          <w:szCs w:val="28"/>
        </w:rPr>
        <w:t xml:space="preserve">quy định tại </w:t>
      </w:r>
      <w:r w:rsidR="00A40EAA">
        <w:rPr>
          <w:sz w:val="28"/>
          <w:szCs w:val="28"/>
        </w:rPr>
        <w:t>K</w:t>
      </w:r>
      <w:r w:rsidR="00234F51">
        <w:rPr>
          <w:sz w:val="28"/>
          <w:szCs w:val="28"/>
        </w:rPr>
        <w:t xml:space="preserve">hoản 2, Điều 13, Thông tư số 13/2019/TT-BNV ngày 06/11/2019 của Bộ Nội vụ: </w:t>
      </w:r>
      <w:r w:rsidR="00234F51" w:rsidRPr="00A40EAA">
        <w:rPr>
          <w:i/>
          <w:sz w:val="28"/>
          <w:szCs w:val="28"/>
        </w:rPr>
        <w:t>“</w:t>
      </w:r>
      <w:r w:rsidR="00234F51" w:rsidRPr="00A40EAA">
        <w:rPr>
          <w:rFonts w:eastAsia="Times New Roman"/>
          <w:i/>
          <w:sz w:val="28"/>
          <w:szCs w:val="28"/>
        </w:rPr>
        <w:t>Việc quy định các chế độ, tiêu chuẩn, định mức đối với người hoạt động không chuyên trách; người trực tiêp tham gia vào hoạt động ở thôn, tổ dân phố ngoài mức khoán quy định tại khoản 1 Điều 14a Nghị định số 92/2009/NĐ-CP đã được sửa đổi, bổ sung tại khoản 6 Điều 2 Nghị định số 34/2019/NĐ-CP do Ủy ban nhân dân cấp tỉnh trình Hội đồng nhân dân cùng cấp xem xét, quyết định theo quy định tại khoản 3 Điều 21 Nghị định số 163/2016/NĐ-CP ngày 21 tháng 12 năm 2016 của Chính phủ quy định chi tiết thi hành một số điều của Luật Ngân sách nhà nước”</w:t>
      </w:r>
      <w:r w:rsidR="00234F51">
        <w:rPr>
          <w:rFonts w:eastAsia="Times New Roman"/>
          <w:sz w:val="28"/>
          <w:szCs w:val="28"/>
        </w:rPr>
        <w:t xml:space="preserve">, </w:t>
      </w:r>
      <w:r w:rsidR="00A40EAA">
        <w:rPr>
          <w:sz w:val="28"/>
          <w:szCs w:val="28"/>
        </w:rPr>
        <w:t>Ủy ban nhân dân</w:t>
      </w:r>
      <w:r w:rsidR="00BF49C2" w:rsidRPr="0054287C">
        <w:rPr>
          <w:sz w:val="28"/>
          <w:szCs w:val="28"/>
        </w:rPr>
        <w:t xml:space="preserve"> tỉnh phân công</w:t>
      </w:r>
      <w:r w:rsidR="00592C31">
        <w:rPr>
          <w:sz w:val="28"/>
          <w:szCs w:val="28"/>
        </w:rPr>
        <w:t xml:space="preserve"> </w:t>
      </w:r>
      <w:r w:rsidR="00DA6767">
        <w:rPr>
          <w:sz w:val="28"/>
          <w:szCs w:val="28"/>
        </w:rPr>
        <w:t xml:space="preserve">Sở </w:t>
      </w:r>
      <w:r w:rsidRPr="0054287C">
        <w:rPr>
          <w:sz w:val="28"/>
          <w:szCs w:val="28"/>
        </w:rPr>
        <w:t xml:space="preserve">Nội vụ </w:t>
      </w:r>
      <w:r w:rsidR="00BF49C2" w:rsidRPr="0054287C">
        <w:rPr>
          <w:sz w:val="28"/>
          <w:szCs w:val="28"/>
        </w:rPr>
        <w:t>chủ</w:t>
      </w:r>
      <w:r w:rsidR="00A40EAA">
        <w:rPr>
          <w:sz w:val="28"/>
          <w:szCs w:val="28"/>
        </w:rPr>
        <w:t xml:space="preserve"> trì</w:t>
      </w:r>
      <w:r w:rsidR="00BF49C2" w:rsidRPr="0054287C">
        <w:rPr>
          <w:sz w:val="28"/>
          <w:szCs w:val="28"/>
        </w:rPr>
        <w:t>, phối hợp với các sở</w:t>
      </w:r>
      <w:r w:rsidR="009F56E7">
        <w:rPr>
          <w:sz w:val="28"/>
          <w:szCs w:val="28"/>
        </w:rPr>
        <w:t>,</w:t>
      </w:r>
      <w:r w:rsidR="00592C31">
        <w:rPr>
          <w:sz w:val="28"/>
          <w:szCs w:val="28"/>
        </w:rPr>
        <w:t xml:space="preserve"> </w:t>
      </w:r>
      <w:r w:rsidR="00A40EAA">
        <w:rPr>
          <w:sz w:val="28"/>
          <w:szCs w:val="28"/>
        </w:rPr>
        <w:t xml:space="preserve">ngành liên quan </w:t>
      </w:r>
      <w:r w:rsidRPr="0054287C">
        <w:rPr>
          <w:sz w:val="28"/>
          <w:szCs w:val="28"/>
        </w:rPr>
        <w:t>tiếp tục soát xét, đánh giá tình hình triể</w:t>
      </w:r>
      <w:r w:rsidR="00BF49C2" w:rsidRPr="0054287C">
        <w:rPr>
          <w:sz w:val="28"/>
          <w:szCs w:val="28"/>
        </w:rPr>
        <w:t>n khai chính sách này,</w:t>
      </w:r>
      <w:r w:rsidRPr="0054287C">
        <w:rPr>
          <w:sz w:val="28"/>
          <w:szCs w:val="28"/>
        </w:rPr>
        <w:t xml:space="preserve"> báo cáo kịp thời v</w:t>
      </w:r>
      <w:r w:rsidR="00BB74FE" w:rsidRPr="0054287C">
        <w:rPr>
          <w:sz w:val="28"/>
          <w:szCs w:val="28"/>
        </w:rPr>
        <w:t>ề</w:t>
      </w:r>
      <w:r w:rsidRPr="0054287C">
        <w:rPr>
          <w:sz w:val="28"/>
          <w:szCs w:val="28"/>
        </w:rPr>
        <w:t xml:space="preserve"> UBND tỉnh để xem xét thống nhất chỉ đạo triển khai trong thời gian tới.</w:t>
      </w:r>
    </w:p>
    <w:p w:rsidR="00756DAD" w:rsidRPr="008C2C48" w:rsidRDefault="008C2C48" w:rsidP="00A40EAA">
      <w:pPr>
        <w:spacing w:before="120" w:after="0" w:line="240" w:lineRule="auto"/>
        <w:ind w:firstLine="720"/>
        <w:jc w:val="both"/>
        <w:rPr>
          <w:b/>
          <w:i/>
          <w:sz w:val="28"/>
          <w:szCs w:val="28"/>
        </w:rPr>
      </w:pPr>
      <w:r w:rsidRPr="008C2C48">
        <w:rPr>
          <w:b/>
          <w:i/>
          <w:sz w:val="28"/>
          <w:szCs w:val="28"/>
        </w:rPr>
        <w:t>1.</w:t>
      </w:r>
      <w:r w:rsidR="00A74369" w:rsidRPr="008C2C48">
        <w:rPr>
          <w:b/>
          <w:i/>
          <w:sz w:val="28"/>
          <w:szCs w:val="28"/>
        </w:rPr>
        <w:t xml:space="preserve">4. </w:t>
      </w:r>
      <w:r w:rsidR="00B22A7B" w:rsidRPr="008C2C48">
        <w:rPr>
          <w:b/>
          <w:i/>
          <w:sz w:val="28"/>
          <w:szCs w:val="28"/>
        </w:rPr>
        <w:t xml:space="preserve">Về </w:t>
      </w:r>
      <w:r w:rsidR="003B69DB" w:rsidRPr="008C2C48">
        <w:rPr>
          <w:b/>
          <w:i/>
          <w:sz w:val="28"/>
          <w:szCs w:val="28"/>
        </w:rPr>
        <w:t>một số chế độ đối với các chức danh theo quy định tại các văn bả</w:t>
      </w:r>
      <w:r w:rsidR="00A74369" w:rsidRPr="008C2C48">
        <w:rPr>
          <w:b/>
          <w:i/>
          <w:sz w:val="28"/>
          <w:szCs w:val="28"/>
        </w:rPr>
        <w:t xml:space="preserve">n chuyên ngành </w:t>
      </w:r>
      <w:r w:rsidR="003B69DB" w:rsidRPr="008C2C48">
        <w:rPr>
          <w:b/>
          <w:i/>
          <w:sz w:val="28"/>
          <w:szCs w:val="28"/>
        </w:rPr>
        <w:t>có hiệu lực thi hành trước Nghị định số</w:t>
      </w:r>
      <w:r w:rsidR="00A74369" w:rsidRPr="008C2C48">
        <w:rPr>
          <w:b/>
          <w:i/>
          <w:sz w:val="28"/>
          <w:szCs w:val="28"/>
        </w:rPr>
        <w:t xml:space="preserve"> 34/2019/NĐ-CP</w:t>
      </w:r>
      <w:r w:rsidR="003B69DB" w:rsidRPr="008C2C48">
        <w:rPr>
          <w:b/>
          <w:i/>
          <w:sz w:val="28"/>
          <w:szCs w:val="28"/>
        </w:rPr>
        <w:t>:</w:t>
      </w:r>
    </w:p>
    <w:p w:rsidR="00756DAD" w:rsidRPr="0054287C" w:rsidRDefault="009F56E7" w:rsidP="00A40EAA">
      <w:pPr>
        <w:spacing w:before="120" w:after="0" w:line="240" w:lineRule="auto"/>
        <w:ind w:firstLine="720"/>
        <w:jc w:val="both"/>
        <w:rPr>
          <w:sz w:val="28"/>
          <w:szCs w:val="28"/>
        </w:rPr>
      </w:pPr>
      <w:r>
        <w:rPr>
          <w:sz w:val="28"/>
          <w:szCs w:val="28"/>
        </w:rPr>
        <w:t xml:space="preserve">+ </w:t>
      </w:r>
      <w:r w:rsidR="003B69DB" w:rsidRPr="0054287C">
        <w:rPr>
          <w:sz w:val="28"/>
          <w:szCs w:val="28"/>
        </w:rPr>
        <w:t>Công an viên (quy định tại Nghị định số 73/2009/NĐ-CP ngày 07/9/2009 của Chính phủ quy định chi tiết thi hành một số điều của Pháp lệnh Côn</w:t>
      </w:r>
      <w:r w:rsidR="00756DAD" w:rsidRPr="0054287C">
        <w:rPr>
          <w:sz w:val="28"/>
          <w:szCs w:val="28"/>
        </w:rPr>
        <w:t>g an xã);</w:t>
      </w:r>
    </w:p>
    <w:p w:rsidR="00756DAD" w:rsidRPr="0054287C" w:rsidRDefault="00756DAD" w:rsidP="00A40EAA">
      <w:pPr>
        <w:spacing w:before="120" w:after="0" w:line="240" w:lineRule="auto"/>
        <w:ind w:firstLine="720"/>
        <w:jc w:val="both"/>
        <w:rPr>
          <w:sz w:val="28"/>
          <w:szCs w:val="28"/>
        </w:rPr>
      </w:pPr>
      <w:r w:rsidRPr="0054287C">
        <w:rPr>
          <w:sz w:val="28"/>
          <w:szCs w:val="28"/>
        </w:rPr>
        <w:t xml:space="preserve">+ </w:t>
      </w:r>
      <w:r w:rsidR="003B69DB" w:rsidRPr="0054287C">
        <w:rPr>
          <w:sz w:val="28"/>
          <w:szCs w:val="28"/>
        </w:rPr>
        <w:t xml:space="preserve">Thôn đội trưởng (quy định tại Luật Dân quân tự vệ ngày 23/7/2009 và Nghị định số 03/2016/NĐ-CP ngày 05/01/2016 của Chính phủ quy định chi tiết và biện pháp thi hành một số điều của Luật Dân quân tự vệ); </w:t>
      </w:r>
    </w:p>
    <w:p w:rsidR="00756DAD" w:rsidRPr="0054287C" w:rsidRDefault="00756DAD" w:rsidP="00A40EAA">
      <w:pPr>
        <w:spacing w:before="120" w:after="0" w:line="240" w:lineRule="auto"/>
        <w:ind w:firstLine="720"/>
        <w:jc w:val="both"/>
        <w:rPr>
          <w:sz w:val="28"/>
          <w:szCs w:val="28"/>
        </w:rPr>
      </w:pPr>
      <w:r w:rsidRPr="0054287C">
        <w:rPr>
          <w:sz w:val="28"/>
          <w:szCs w:val="28"/>
        </w:rPr>
        <w:t xml:space="preserve">+ </w:t>
      </w:r>
      <w:r w:rsidR="003B69DB" w:rsidRPr="0054287C">
        <w:rPr>
          <w:sz w:val="28"/>
          <w:szCs w:val="28"/>
        </w:rPr>
        <w:t>Nhân viên y tế thôn, bản (</w:t>
      </w:r>
      <w:r w:rsidR="008B6735">
        <w:rPr>
          <w:sz w:val="28"/>
          <w:szCs w:val="28"/>
        </w:rPr>
        <w:t>quy định tại</w:t>
      </w:r>
      <w:r w:rsidR="003B69DB" w:rsidRPr="0054287C">
        <w:rPr>
          <w:sz w:val="28"/>
          <w:szCs w:val="28"/>
        </w:rPr>
        <w:t xml:space="preserve"> Quyết định số 75/2009/QĐ-TTg ngày 11/5/2009 của Thủ tướng Chính phủ về việc quy định chế độ phụ cấp đối với nhân viên y tế thôn, bản); </w:t>
      </w:r>
    </w:p>
    <w:p w:rsidR="006F49B7" w:rsidRPr="0054287C" w:rsidRDefault="00756DAD" w:rsidP="00A40EAA">
      <w:pPr>
        <w:spacing w:before="120" w:after="0" w:line="240" w:lineRule="auto"/>
        <w:ind w:firstLine="720"/>
        <w:jc w:val="both"/>
        <w:rPr>
          <w:sz w:val="28"/>
          <w:szCs w:val="28"/>
        </w:rPr>
      </w:pPr>
      <w:r w:rsidRPr="0054287C">
        <w:rPr>
          <w:sz w:val="28"/>
          <w:szCs w:val="28"/>
        </w:rPr>
        <w:t xml:space="preserve">+ </w:t>
      </w:r>
      <w:r w:rsidR="003B69DB" w:rsidRPr="0054287C">
        <w:rPr>
          <w:sz w:val="28"/>
          <w:szCs w:val="28"/>
        </w:rPr>
        <w:t>Cộng tác viên y tế, dân số (quy định tạ</w:t>
      </w:r>
      <w:r w:rsidR="00B75EE1">
        <w:rPr>
          <w:sz w:val="28"/>
          <w:szCs w:val="28"/>
        </w:rPr>
        <w:t xml:space="preserve">i Thông tư </w:t>
      </w:r>
      <w:r w:rsidR="003B69DB" w:rsidRPr="0054287C">
        <w:rPr>
          <w:sz w:val="28"/>
          <w:szCs w:val="28"/>
        </w:rPr>
        <w:t>số 26/2018/TT-BTC ngày 21/3/2018 của Bộ Tài chính về quy định quản lý và sử dụng kinh phí sự nghiệp thực hiện Chương trình mục tiêu Y tế - Dân số giai đoạ</w:t>
      </w:r>
      <w:r w:rsidR="006F49B7" w:rsidRPr="0054287C">
        <w:rPr>
          <w:sz w:val="28"/>
          <w:szCs w:val="28"/>
        </w:rPr>
        <w:t>n 2016 - 2020);</w:t>
      </w:r>
    </w:p>
    <w:p w:rsidR="00447702" w:rsidRDefault="00A74369" w:rsidP="00A40EAA">
      <w:pPr>
        <w:spacing w:before="120" w:after="0" w:line="240" w:lineRule="auto"/>
        <w:ind w:firstLine="720"/>
        <w:jc w:val="both"/>
        <w:rPr>
          <w:sz w:val="28"/>
          <w:szCs w:val="28"/>
        </w:rPr>
      </w:pPr>
      <w:r>
        <w:rPr>
          <w:sz w:val="28"/>
          <w:szCs w:val="28"/>
        </w:rPr>
        <w:t>Ủy ban nhân dân</w:t>
      </w:r>
      <w:r w:rsidR="003B69DB" w:rsidRPr="0054287C">
        <w:rPr>
          <w:sz w:val="28"/>
          <w:szCs w:val="28"/>
        </w:rPr>
        <w:t xml:space="preserve"> tỉ</w:t>
      </w:r>
      <w:r w:rsidR="00592C31">
        <w:rPr>
          <w:sz w:val="28"/>
          <w:szCs w:val="28"/>
        </w:rPr>
        <w:t xml:space="preserve">nh đã </w:t>
      </w:r>
      <w:r w:rsidR="003B69DB" w:rsidRPr="0054287C">
        <w:rPr>
          <w:sz w:val="28"/>
          <w:szCs w:val="28"/>
        </w:rPr>
        <w:t>có Văn bản số 6739/UBND-NC</w:t>
      </w:r>
      <w:r w:rsidR="003B69DB" w:rsidRPr="0054287C">
        <w:rPr>
          <w:sz w:val="28"/>
          <w:szCs w:val="28"/>
          <w:vertAlign w:val="subscript"/>
        </w:rPr>
        <w:t>1</w:t>
      </w:r>
      <w:r w:rsidR="003B69DB" w:rsidRPr="0054287C">
        <w:rPr>
          <w:sz w:val="28"/>
          <w:szCs w:val="28"/>
        </w:rPr>
        <w:t xml:space="preserve"> ngày 10/10/2019 đề nghị Bộ Nội vụ hướng dẫn thực hiệ</w:t>
      </w:r>
      <w:r>
        <w:rPr>
          <w:sz w:val="28"/>
          <w:szCs w:val="28"/>
        </w:rPr>
        <w:t>n.</w:t>
      </w:r>
    </w:p>
    <w:p w:rsidR="00A74369" w:rsidRPr="00A74369" w:rsidRDefault="008C2C48" w:rsidP="00A40EAA">
      <w:pPr>
        <w:spacing w:before="120" w:after="0" w:line="240" w:lineRule="auto"/>
        <w:ind w:firstLine="720"/>
        <w:jc w:val="both"/>
        <w:rPr>
          <w:b/>
          <w:sz w:val="28"/>
          <w:szCs w:val="28"/>
        </w:rPr>
      </w:pPr>
      <w:r>
        <w:rPr>
          <w:b/>
          <w:sz w:val="28"/>
          <w:szCs w:val="28"/>
        </w:rPr>
        <w:t>3</w:t>
      </w:r>
      <w:r w:rsidR="00A74369" w:rsidRPr="00A74369">
        <w:rPr>
          <w:b/>
          <w:sz w:val="28"/>
          <w:szCs w:val="28"/>
        </w:rPr>
        <w:t>. Kiến nghị, đề xuất:</w:t>
      </w:r>
    </w:p>
    <w:p w:rsidR="00A74369" w:rsidRDefault="00AB742A" w:rsidP="00A40EAA">
      <w:pPr>
        <w:spacing w:before="120" w:after="0" w:line="240" w:lineRule="auto"/>
        <w:ind w:firstLine="720"/>
        <w:jc w:val="both"/>
        <w:rPr>
          <w:sz w:val="28"/>
          <w:szCs w:val="28"/>
        </w:rPr>
      </w:pPr>
      <w:r>
        <w:rPr>
          <w:sz w:val="28"/>
          <w:szCs w:val="28"/>
        </w:rPr>
        <w:t xml:space="preserve">Xét </w:t>
      </w:r>
      <w:r w:rsidR="00447702">
        <w:rPr>
          <w:sz w:val="28"/>
          <w:szCs w:val="28"/>
        </w:rPr>
        <w:t xml:space="preserve">đề </w:t>
      </w:r>
      <w:r w:rsidR="00A74369">
        <w:rPr>
          <w:sz w:val="28"/>
          <w:szCs w:val="28"/>
        </w:rPr>
        <w:t>nghị</w:t>
      </w:r>
      <w:r w:rsidR="00447702">
        <w:rPr>
          <w:sz w:val="28"/>
          <w:szCs w:val="28"/>
        </w:rPr>
        <w:t xml:space="preserve"> của </w:t>
      </w:r>
      <w:r w:rsidR="00D10012">
        <w:rPr>
          <w:sz w:val="28"/>
          <w:szCs w:val="28"/>
        </w:rPr>
        <w:t xml:space="preserve">liên </w:t>
      </w:r>
      <w:r w:rsidR="00447702">
        <w:rPr>
          <w:sz w:val="28"/>
          <w:szCs w:val="28"/>
        </w:rPr>
        <w:t>Sở</w:t>
      </w:r>
      <w:r w:rsidR="00A74369">
        <w:rPr>
          <w:sz w:val="28"/>
          <w:szCs w:val="28"/>
        </w:rPr>
        <w:t>:</w:t>
      </w:r>
      <w:r w:rsidR="00447702">
        <w:rPr>
          <w:sz w:val="28"/>
          <w:szCs w:val="28"/>
        </w:rPr>
        <w:t xml:space="preserve"> Nội vụ</w:t>
      </w:r>
      <w:r w:rsidR="00D10012">
        <w:rPr>
          <w:sz w:val="28"/>
          <w:szCs w:val="28"/>
        </w:rPr>
        <w:t>,</w:t>
      </w:r>
      <w:r w:rsidR="00447702">
        <w:rPr>
          <w:sz w:val="28"/>
          <w:szCs w:val="28"/>
        </w:rPr>
        <w:t xml:space="preserve"> Tài chính, </w:t>
      </w:r>
      <w:r w:rsidR="00F00F71">
        <w:rPr>
          <w:sz w:val="28"/>
          <w:szCs w:val="28"/>
        </w:rPr>
        <w:t>UBND</w:t>
      </w:r>
      <w:r w:rsidR="00592C31">
        <w:rPr>
          <w:sz w:val="28"/>
          <w:szCs w:val="28"/>
        </w:rPr>
        <w:t xml:space="preserve"> </w:t>
      </w:r>
      <w:r w:rsidR="00D10012">
        <w:rPr>
          <w:sz w:val="28"/>
          <w:szCs w:val="28"/>
        </w:rPr>
        <w:t>tỉnh</w:t>
      </w:r>
      <w:r w:rsidR="00A74369">
        <w:rPr>
          <w:sz w:val="28"/>
          <w:szCs w:val="28"/>
        </w:rPr>
        <w:t xml:space="preserve"> kính</w:t>
      </w:r>
      <w:r w:rsidR="00592C31">
        <w:rPr>
          <w:sz w:val="28"/>
          <w:szCs w:val="28"/>
        </w:rPr>
        <w:t xml:space="preserve"> </w:t>
      </w:r>
      <w:r w:rsidR="00447702">
        <w:rPr>
          <w:sz w:val="28"/>
          <w:szCs w:val="28"/>
        </w:rPr>
        <w:t xml:space="preserve">đề nghị Hội đồng nhân dân tỉnh </w:t>
      </w:r>
      <w:r w:rsidR="00A74369">
        <w:rPr>
          <w:sz w:val="28"/>
          <w:szCs w:val="28"/>
        </w:rPr>
        <w:t xml:space="preserve">xem xét thống nhất </w:t>
      </w:r>
      <w:r w:rsidR="00447702">
        <w:rPr>
          <w:sz w:val="28"/>
          <w:szCs w:val="28"/>
        </w:rPr>
        <w:t>cho chủ</w:t>
      </w:r>
      <w:r w:rsidR="00135198">
        <w:rPr>
          <w:sz w:val="28"/>
          <w:szCs w:val="28"/>
        </w:rPr>
        <w:t xml:space="preserve"> trương </w:t>
      </w:r>
      <w:r w:rsidR="00A74369">
        <w:rPr>
          <w:sz w:val="28"/>
          <w:szCs w:val="28"/>
        </w:rPr>
        <w:t xml:space="preserve">thực hiện </w:t>
      </w:r>
      <w:r w:rsidR="00135198">
        <w:rPr>
          <w:sz w:val="28"/>
          <w:szCs w:val="28"/>
        </w:rPr>
        <w:t xml:space="preserve">như sau: </w:t>
      </w:r>
    </w:p>
    <w:p w:rsidR="00E315F3" w:rsidRDefault="00E315F3" w:rsidP="00A40EAA">
      <w:pPr>
        <w:spacing w:before="120" w:after="0" w:line="240" w:lineRule="auto"/>
        <w:ind w:firstLine="720"/>
        <w:jc w:val="both"/>
        <w:rPr>
          <w:sz w:val="28"/>
          <w:szCs w:val="28"/>
        </w:rPr>
      </w:pPr>
      <w:r w:rsidRPr="00592C31">
        <w:rPr>
          <w:sz w:val="28"/>
          <w:szCs w:val="28"/>
        </w:rPr>
        <w:t xml:space="preserve">- Nghiên cứu </w:t>
      </w:r>
      <w:r w:rsidR="00353DA6">
        <w:rPr>
          <w:sz w:val="28"/>
          <w:szCs w:val="28"/>
        </w:rPr>
        <w:t xml:space="preserve">các địa phương, </w:t>
      </w:r>
      <w:r w:rsidRPr="00592C31">
        <w:rPr>
          <w:sz w:val="28"/>
          <w:szCs w:val="28"/>
        </w:rPr>
        <w:t xml:space="preserve">thống nhất </w:t>
      </w:r>
      <w:r w:rsidR="00353DA6">
        <w:rPr>
          <w:sz w:val="28"/>
          <w:szCs w:val="28"/>
        </w:rPr>
        <w:t xml:space="preserve">cho </w:t>
      </w:r>
      <w:r w:rsidRPr="00592C31">
        <w:rPr>
          <w:sz w:val="28"/>
          <w:szCs w:val="28"/>
        </w:rPr>
        <w:t xml:space="preserve">các công việc ở thôn, tổ dân phố </w:t>
      </w:r>
      <w:r w:rsidR="00353DA6">
        <w:rPr>
          <w:sz w:val="28"/>
          <w:szCs w:val="28"/>
        </w:rPr>
        <w:t>và ngân sách tỉnh hỗ trợ bổ sung khi có điều kiện thì sẽ cân nhắc xem xét bổ sung</w:t>
      </w:r>
      <w:r w:rsidRPr="00592C31">
        <w:rPr>
          <w:sz w:val="28"/>
          <w:szCs w:val="28"/>
        </w:rPr>
        <w:t>.</w:t>
      </w:r>
    </w:p>
    <w:p w:rsidR="00447702" w:rsidRDefault="00E315F3" w:rsidP="00A40EAA">
      <w:pPr>
        <w:spacing w:before="120" w:after="0" w:line="240" w:lineRule="auto"/>
        <w:ind w:firstLine="720"/>
        <w:jc w:val="both"/>
        <w:rPr>
          <w:sz w:val="28"/>
          <w:szCs w:val="28"/>
        </w:rPr>
      </w:pPr>
      <w:r>
        <w:rPr>
          <w:sz w:val="28"/>
          <w:szCs w:val="28"/>
        </w:rPr>
        <w:t xml:space="preserve">- </w:t>
      </w:r>
      <w:r w:rsidR="00135198">
        <w:rPr>
          <w:sz w:val="28"/>
          <w:szCs w:val="28"/>
        </w:rPr>
        <w:t>Đ</w:t>
      </w:r>
      <w:r w:rsidR="00447702">
        <w:rPr>
          <w:sz w:val="28"/>
          <w:szCs w:val="28"/>
        </w:rPr>
        <w:t>ối với chế độ của các chức danh được quy định theo Pháp lệnh hoặc các văn bản chuyên ngành (</w:t>
      </w:r>
      <w:r w:rsidR="00A74369">
        <w:rPr>
          <w:sz w:val="28"/>
          <w:szCs w:val="28"/>
        </w:rPr>
        <w:t>0</w:t>
      </w:r>
      <w:r w:rsidR="00447702">
        <w:rPr>
          <w:sz w:val="28"/>
          <w:szCs w:val="28"/>
        </w:rPr>
        <w:t>4 đối tượ</w:t>
      </w:r>
      <w:r w:rsidR="00A74369">
        <w:rPr>
          <w:sz w:val="28"/>
          <w:szCs w:val="28"/>
        </w:rPr>
        <w:t>ng nêu</w:t>
      </w:r>
      <w:r w:rsidR="00447702">
        <w:rPr>
          <w:sz w:val="28"/>
          <w:szCs w:val="28"/>
        </w:rPr>
        <w:t xml:space="preserve"> trên) mà chưa bị hủy bỏ hoặc thay thế </w:t>
      </w:r>
      <w:r w:rsidR="00135198">
        <w:rPr>
          <w:sz w:val="28"/>
          <w:szCs w:val="28"/>
        </w:rPr>
        <w:t xml:space="preserve">khi Chính phủ ban hành Nghị định số 34/2019/NĐ-CP </w:t>
      </w:r>
      <w:r w:rsidR="00447702">
        <w:rPr>
          <w:sz w:val="28"/>
          <w:szCs w:val="28"/>
        </w:rPr>
        <w:t>thì được tỉnh cấp ngân sách chi trả ngoài mức hỗ trợ</w:t>
      </w:r>
      <w:r w:rsidR="00A74369">
        <w:rPr>
          <w:sz w:val="28"/>
          <w:szCs w:val="28"/>
        </w:rPr>
        <w:t xml:space="preserve"> theo K</w:t>
      </w:r>
      <w:r w:rsidR="00447702">
        <w:rPr>
          <w:sz w:val="28"/>
          <w:szCs w:val="28"/>
        </w:rPr>
        <w:t>hoản 2</w:t>
      </w:r>
      <w:r w:rsidR="00A74369">
        <w:rPr>
          <w:sz w:val="28"/>
          <w:szCs w:val="28"/>
        </w:rPr>
        <w:t>,</w:t>
      </w:r>
      <w:r w:rsidR="00447702">
        <w:rPr>
          <w:sz w:val="28"/>
          <w:szCs w:val="28"/>
        </w:rPr>
        <w:t xml:space="preserve"> Điều 5 Nghị quyết số 156/2019/NQ-HĐND.</w:t>
      </w:r>
    </w:p>
    <w:p w:rsidR="007B1FFA" w:rsidRPr="0054287C" w:rsidRDefault="00E53981" w:rsidP="00A40EAA">
      <w:pPr>
        <w:spacing w:before="120" w:after="0" w:line="240" w:lineRule="auto"/>
        <w:ind w:firstLine="720"/>
        <w:jc w:val="both"/>
        <w:rPr>
          <w:spacing w:val="-2"/>
          <w:sz w:val="28"/>
          <w:szCs w:val="28"/>
        </w:rPr>
      </w:pPr>
      <w:r w:rsidRPr="0054287C">
        <w:rPr>
          <w:sz w:val="28"/>
          <w:szCs w:val="28"/>
        </w:rPr>
        <w:t>Trên đây là</w:t>
      </w:r>
      <w:r w:rsidR="0028022E">
        <w:rPr>
          <w:sz w:val="28"/>
          <w:szCs w:val="28"/>
        </w:rPr>
        <w:t xml:space="preserve"> </w:t>
      </w:r>
      <w:r w:rsidRPr="0054287C">
        <w:rPr>
          <w:sz w:val="28"/>
          <w:szCs w:val="28"/>
        </w:rPr>
        <w:t>b</w:t>
      </w:r>
      <w:r w:rsidR="003A19BE" w:rsidRPr="0054287C">
        <w:rPr>
          <w:sz w:val="28"/>
          <w:szCs w:val="28"/>
        </w:rPr>
        <w:t>áo cáo tình hình triển khai thực hiện Nghị quyết số</w:t>
      </w:r>
      <w:r w:rsidRPr="0054287C">
        <w:rPr>
          <w:sz w:val="28"/>
          <w:szCs w:val="28"/>
        </w:rPr>
        <w:t xml:space="preserve"> 156/2019/NQ-</w:t>
      </w:r>
      <w:r w:rsidR="003A19BE" w:rsidRPr="0054287C">
        <w:rPr>
          <w:sz w:val="28"/>
          <w:szCs w:val="28"/>
        </w:rPr>
        <w:t>HĐND</w:t>
      </w:r>
      <w:r w:rsidRPr="0054287C">
        <w:rPr>
          <w:sz w:val="28"/>
          <w:szCs w:val="28"/>
        </w:rPr>
        <w:t xml:space="preserve"> ngày 17/7/2019 </w:t>
      </w:r>
      <w:r w:rsidR="003A19BE" w:rsidRPr="0054287C">
        <w:rPr>
          <w:sz w:val="28"/>
          <w:szCs w:val="28"/>
        </w:rPr>
        <w:t xml:space="preserve">của </w:t>
      </w:r>
      <w:r w:rsidR="0094090D">
        <w:rPr>
          <w:sz w:val="28"/>
          <w:szCs w:val="28"/>
        </w:rPr>
        <w:t>Hội đồng nhân dân</w:t>
      </w:r>
      <w:r w:rsidR="003A19BE" w:rsidRPr="0054287C">
        <w:rPr>
          <w:sz w:val="28"/>
          <w:szCs w:val="28"/>
        </w:rPr>
        <w:t xml:space="preserve"> tỉnh</w:t>
      </w:r>
      <w:r w:rsidR="00A74369">
        <w:rPr>
          <w:sz w:val="28"/>
          <w:szCs w:val="28"/>
        </w:rPr>
        <w:t>, Ủy ban nhân dân tỉnh báo cáo Hội đồng nhân dân tỉnh xem xét,</w:t>
      </w:r>
      <w:r w:rsidR="009F56E7">
        <w:rPr>
          <w:sz w:val="28"/>
          <w:szCs w:val="28"/>
        </w:rPr>
        <w:t xml:space="preserve"> </w:t>
      </w:r>
      <w:r w:rsidR="00A74369">
        <w:rPr>
          <w:spacing w:val="-2"/>
          <w:sz w:val="28"/>
          <w:szCs w:val="28"/>
        </w:rPr>
        <w:t>quyết định</w:t>
      </w:r>
      <w:r w:rsidR="007B1FFA" w:rsidRPr="0054287C">
        <w:rPr>
          <w:spacing w:val="-2"/>
          <w:sz w:val="28"/>
          <w:szCs w:val="28"/>
        </w:rPr>
        <w:t>./.</w:t>
      </w:r>
    </w:p>
    <w:p w:rsidR="007B1FFA" w:rsidRPr="0054287C" w:rsidRDefault="007B1FFA" w:rsidP="007B1FFA">
      <w:pPr>
        <w:spacing w:before="60" w:after="60" w:line="240" w:lineRule="auto"/>
        <w:ind w:firstLine="720"/>
        <w:jc w:val="both"/>
        <w:rPr>
          <w:sz w:val="10"/>
          <w:szCs w:val="28"/>
        </w:rPr>
      </w:pPr>
    </w:p>
    <w:tbl>
      <w:tblPr>
        <w:tblW w:w="0" w:type="auto"/>
        <w:tblLook w:val="04A0" w:firstRow="1" w:lastRow="0" w:firstColumn="1" w:lastColumn="0" w:noHBand="0" w:noVBand="1"/>
      </w:tblPr>
      <w:tblGrid>
        <w:gridCol w:w="4643"/>
        <w:gridCol w:w="4643"/>
      </w:tblGrid>
      <w:tr w:rsidR="007B1FFA" w:rsidRPr="0054287C" w:rsidTr="007B1FFA">
        <w:tc>
          <w:tcPr>
            <w:tcW w:w="4643" w:type="dxa"/>
            <w:hideMark/>
          </w:tcPr>
          <w:p w:rsidR="007B1FFA" w:rsidRPr="0054287C" w:rsidRDefault="007B1FFA">
            <w:pPr>
              <w:spacing w:after="0" w:line="240" w:lineRule="auto"/>
              <w:jc w:val="both"/>
              <w:rPr>
                <w:b/>
                <w:i/>
                <w:sz w:val="24"/>
                <w:szCs w:val="24"/>
              </w:rPr>
            </w:pPr>
            <w:r w:rsidRPr="0054287C">
              <w:rPr>
                <w:b/>
                <w:i/>
                <w:sz w:val="24"/>
                <w:szCs w:val="24"/>
              </w:rPr>
              <w:t>Nơi nhận:</w:t>
            </w:r>
          </w:p>
          <w:p w:rsidR="00D7083B" w:rsidRPr="0054287C" w:rsidRDefault="00A74369">
            <w:pPr>
              <w:spacing w:after="0" w:line="240" w:lineRule="auto"/>
              <w:jc w:val="both"/>
            </w:pPr>
            <w:r>
              <w:t>- Như trên</w:t>
            </w:r>
            <w:r w:rsidR="007B1FFA" w:rsidRPr="0054287C">
              <w:t>;</w:t>
            </w:r>
          </w:p>
          <w:p w:rsidR="00A74369" w:rsidRDefault="00A74369">
            <w:pPr>
              <w:spacing w:after="0" w:line="240" w:lineRule="auto"/>
              <w:jc w:val="both"/>
            </w:pPr>
            <w:r>
              <w:t>- Thường trực</w:t>
            </w:r>
            <w:r w:rsidR="006F49B7" w:rsidRPr="0054287C">
              <w:t>Tỉnh ủy</w:t>
            </w:r>
            <w:r w:rsidR="00BF49C2" w:rsidRPr="0054287C">
              <w:t xml:space="preserve"> (</w:t>
            </w:r>
            <w:r>
              <w:t>b/c</w:t>
            </w:r>
            <w:r w:rsidR="00BF49C2" w:rsidRPr="0054287C">
              <w:t>)</w:t>
            </w:r>
            <w:r w:rsidR="00D7083B" w:rsidRPr="0054287C">
              <w:t>;</w:t>
            </w:r>
          </w:p>
          <w:p w:rsidR="00D7083B" w:rsidRPr="0054287C" w:rsidRDefault="00A74369">
            <w:pPr>
              <w:spacing w:after="0" w:line="240" w:lineRule="auto"/>
              <w:jc w:val="both"/>
            </w:pPr>
            <w:r>
              <w:t>- Thường trực HĐND tỉnh;</w:t>
            </w:r>
          </w:p>
          <w:p w:rsidR="00BF49C2" w:rsidRDefault="00D7083B">
            <w:pPr>
              <w:spacing w:after="0" w:line="240" w:lineRule="auto"/>
              <w:jc w:val="both"/>
            </w:pPr>
            <w:r w:rsidRPr="0054287C">
              <w:t>- C</w:t>
            </w:r>
            <w:r w:rsidR="006F49B7" w:rsidRPr="0054287C">
              <w:t>hủ tịch</w:t>
            </w:r>
            <w:r w:rsidRPr="0054287C">
              <w:t>, các PCT UBND tỉnh;</w:t>
            </w:r>
          </w:p>
          <w:p w:rsidR="00A74369" w:rsidRPr="0054287C" w:rsidRDefault="00A74369">
            <w:pPr>
              <w:spacing w:after="0" w:line="240" w:lineRule="auto"/>
              <w:jc w:val="both"/>
            </w:pPr>
            <w:r>
              <w:t>- Các Ban HĐND tỉnh;</w:t>
            </w:r>
          </w:p>
          <w:p w:rsidR="007B1FFA" w:rsidRDefault="00A74369">
            <w:pPr>
              <w:spacing w:after="0" w:line="240" w:lineRule="auto"/>
              <w:jc w:val="both"/>
            </w:pPr>
            <w:r>
              <w:t>- S</w:t>
            </w:r>
            <w:r w:rsidR="00E53981" w:rsidRPr="0054287C">
              <w:t>ở: Nội vụ, Tài chính</w:t>
            </w:r>
            <w:r w:rsidR="007B1FFA" w:rsidRPr="0054287C">
              <w:t>;</w:t>
            </w:r>
          </w:p>
          <w:p w:rsidR="00A74369" w:rsidRPr="0054287C" w:rsidRDefault="00F00F71">
            <w:pPr>
              <w:spacing w:after="0" w:line="240" w:lineRule="auto"/>
              <w:jc w:val="both"/>
            </w:pPr>
            <w:r>
              <w:t>- Chánh VP</w:t>
            </w:r>
            <w:r w:rsidR="00A74369">
              <w:t>, các Phó VP;</w:t>
            </w:r>
          </w:p>
          <w:p w:rsidR="007B1FFA" w:rsidRPr="0054287C" w:rsidRDefault="00BF49C2">
            <w:pPr>
              <w:spacing w:after="0" w:line="240" w:lineRule="auto"/>
              <w:jc w:val="both"/>
              <w:rPr>
                <w:sz w:val="28"/>
                <w:szCs w:val="28"/>
              </w:rPr>
            </w:pPr>
            <w:r w:rsidRPr="0054287C">
              <w:t>- Lưu: VT</w:t>
            </w:r>
            <w:r w:rsidR="00E53981" w:rsidRPr="0054287C">
              <w:t xml:space="preserve">, </w:t>
            </w:r>
            <w:r w:rsidR="00A74369">
              <w:t xml:space="preserve">TKTH, </w:t>
            </w:r>
            <w:r w:rsidR="00E53981" w:rsidRPr="0054287C">
              <w:t>NC</w:t>
            </w:r>
            <w:r w:rsidR="00A74369">
              <w:rPr>
                <w:vertAlign w:val="subscript"/>
              </w:rPr>
              <w:t>1</w:t>
            </w:r>
            <w:r w:rsidR="007B1FFA" w:rsidRPr="0054287C">
              <w:t>.</w:t>
            </w:r>
          </w:p>
        </w:tc>
        <w:tc>
          <w:tcPr>
            <w:tcW w:w="4643" w:type="dxa"/>
          </w:tcPr>
          <w:p w:rsidR="007B1FFA" w:rsidRPr="00A74369" w:rsidRDefault="00BF49C2" w:rsidP="00A74369">
            <w:pPr>
              <w:spacing w:after="0" w:line="240" w:lineRule="auto"/>
              <w:jc w:val="center"/>
              <w:rPr>
                <w:b/>
                <w:sz w:val="26"/>
                <w:szCs w:val="28"/>
              </w:rPr>
            </w:pPr>
            <w:r w:rsidRPr="00A74369">
              <w:rPr>
                <w:b/>
                <w:sz w:val="26"/>
                <w:szCs w:val="28"/>
              </w:rPr>
              <w:t xml:space="preserve">TM. </w:t>
            </w:r>
            <w:r w:rsidR="006F49B7" w:rsidRPr="00A74369">
              <w:rPr>
                <w:b/>
                <w:sz w:val="26"/>
                <w:szCs w:val="28"/>
              </w:rPr>
              <w:t>ỦY BAN NHÂN DÂN</w:t>
            </w:r>
          </w:p>
          <w:p w:rsidR="007B1FFA" w:rsidRPr="00A74369" w:rsidRDefault="00BF49C2" w:rsidP="00A74369">
            <w:pPr>
              <w:spacing w:after="0" w:line="240" w:lineRule="auto"/>
              <w:jc w:val="center"/>
              <w:rPr>
                <w:b/>
                <w:sz w:val="26"/>
                <w:szCs w:val="28"/>
              </w:rPr>
            </w:pPr>
            <w:r w:rsidRPr="00A74369">
              <w:rPr>
                <w:b/>
                <w:sz w:val="26"/>
                <w:szCs w:val="28"/>
              </w:rPr>
              <w:t>KT. CHỦ TỊCH</w:t>
            </w:r>
          </w:p>
          <w:p w:rsidR="007B1FFA" w:rsidRPr="00A74369" w:rsidRDefault="00BF49C2" w:rsidP="00A74369">
            <w:pPr>
              <w:spacing w:after="0" w:line="240" w:lineRule="auto"/>
              <w:jc w:val="center"/>
              <w:rPr>
                <w:b/>
                <w:sz w:val="26"/>
                <w:szCs w:val="28"/>
              </w:rPr>
            </w:pPr>
            <w:r w:rsidRPr="00A74369">
              <w:rPr>
                <w:b/>
                <w:sz w:val="26"/>
                <w:szCs w:val="28"/>
              </w:rPr>
              <w:t>PHÓ CH</w:t>
            </w:r>
            <w:r w:rsidR="00041A5F" w:rsidRPr="00A74369">
              <w:rPr>
                <w:b/>
                <w:sz w:val="26"/>
                <w:szCs w:val="28"/>
              </w:rPr>
              <w:t>Ủ</w:t>
            </w:r>
            <w:r w:rsidRPr="00A74369">
              <w:rPr>
                <w:b/>
                <w:sz w:val="26"/>
                <w:szCs w:val="28"/>
              </w:rPr>
              <w:t xml:space="preserve"> TỊCH</w:t>
            </w:r>
          </w:p>
          <w:p w:rsidR="007B1FFA" w:rsidRPr="0054287C" w:rsidRDefault="007B1FFA">
            <w:pPr>
              <w:spacing w:after="0" w:line="240" w:lineRule="auto"/>
              <w:jc w:val="center"/>
              <w:rPr>
                <w:b/>
                <w:sz w:val="40"/>
                <w:szCs w:val="28"/>
              </w:rPr>
            </w:pPr>
          </w:p>
          <w:p w:rsidR="007B1FFA" w:rsidRDefault="007B1FFA">
            <w:pPr>
              <w:spacing w:after="0" w:line="240" w:lineRule="auto"/>
              <w:jc w:val="center"/>
              <w:rPr>
                <w:sz w:val="28"/>
                <w:szCs w:val="28"/>
              </w:rPr>
            </w:pPr>
          </w:p>
          <w:p w:rsidR="00A74369" w:rsidRPr="00F00F71" w:rsidRDefault="00A74369">
            <w:pPr>
              <w:spacing w:after="0" w:line="240" w:lineRule="auto"/>
              <w:jc w:val="center"/>
              <w:rPr>
                <w:sz w:val="16"/>
                <w:szCs w:val="28"/>
              </w:rPr>
            </w:pPr>
          </w:p>
          <w:p w:rsidR="00A74369" w:rsidRPr="00A74369" w:rsidRDefault="00A74369">
            <w:pPr>
              <w:spacing w:after="0" w:line="240" w:lineRule="auto"/>
              <w:jc w:val="center"/>
              <w:rPr>
                <w:sz w:val="36"/>
                <w:szCs w:val="28"/>
              </w:rPr>
            </w:pPr>
          </w:p>
          <w:p w:rsidR="00A74369" w:rsidRPr="00353DA6" w:rsidRDefault="00A74369" w:rsidP="00A74369">
            <w:pPr>
              <w:tabs>
                <w:tab w:val="left" w:pos="7020"/>
              </w:tabs>
              <w:rPr>
                <w:b/>
                <w:sz w:val="14"/>
                <w:szCs w:val="28"/>
              </w:rPr>
            </w:pPr>
          </w:p>
          <w:p w:rsidR="00A74369" w:rsidRDefault="00A74369" w:rsidP="00A74369">
            <w:pPr>
              <w:tabs>
                <w:tab w:val="left" w:pos="7020"/>
              </w:tabs>
              <w:rPr>
                <w:b/>
                <w:sz w:val="28"/>
                <w:szCs w:val="28"/>
              </w:rPr>
            </w:pPr>
          </w:p>
          <w:p w:rsidR="00A74369" w:rsidRPr="006F49B7" w:rsidRDefault="00353DA6" w:rsidP="00A74369">
            <w:pPr>
              <w:tabs>
                <w:tab w:val="left" w:pos="7020"/>
              </w:tabs>
              <w:rPr>
                <w:b/>
                <w:sz w:val="28"/>
                <w:szCs w:val="28"/>
              </w:rPr>
            </w:pPr>
            <w:r>
              <w:rPr>
                <w:b/>
                <w:sz w:val="28"/>
                <w:szCs w:val="28"/>
              </w:rPr>
              <w:t xml:space="preserve">                     </w:t>
            </w:r>
            <w:r w:rsidR="00A74369" w:rsidRPr="0054287C">
              <w:rPr>
                <w:b/>
                <w:sz w:val="28"/>
                <w:szCs w:val="28"/>
              </w:rPr>
              <w:t xml:space="preserve">Đặng </w:t>
            </w:r>
            <w:r>
              <w:rPr>
                <w:b/>
                <w:sz w:val="28"/>
                <w:szCs w:val="28"/>
              </w:rPr>
              <w:t xml:space="preserve"> </w:t>
            </w:r>
            <w:r w:rsidR="00A74369" w:rsidRPr="0054287C">
              <w:rPr>
                <w:b/>
                <w:sz w:val="28"/>
                <w:szCs w:val="28"/>
              </w:rPr>
              <w:t xml:space="preserve">Quốc </w:t>
            </w:r>
            <w:r>
              <w:rPr>
                <w:b/>
                <w:sz w:val="28"/>
                <w:szCs w:val="28"/>
              </w:rPr>
              <w:t xml:space="preserve"> </w:t>
            </w:r>
            <w:r w:rsidR="00A74369" w:rsidRPr="0054287C">
              <w:rPr>
                <w:b/>
                <w:sz w:val="28"/>
                <w:szCs w:val="28"/>
              </w:rPr>
              <w:t>Vinh</w:t>
            </w:r>
          </w:p>
          <w:p w:rsidR="00A74369" w:rsidRPr="00A74369" w:rsidRDefault="00A74369">
            <w:pPr>
              <w:spacing w:after="0" w:line="240" w:lineRule="auto"/>
              <w:jc w:val="center"/>
              <w:rPr>
                <w:sz w:val="2"/>
                <w:szCs w:val="28"/>
              </w:rPr>
            </w:pPr>
          </w:p>
        </w:tc>
      </w:tr>
    </w:tbl>
    <w:p w:rsidR="007B1FFA" w:rsidRPr="0054287C" w:rsidRDefault="007B1FFA" w:rsidP="003B69DB">
      <w:pPr>
        <w:spacing w:before="120" w:after="0" w:line="240" w:lineRule="auto"/>
        <w:ind w:firstLine="720"/>
        <w:jc w:val="both"/>
        <w:rPr>
          <w:sz w:val="28"/>
          <w:szCs w:val="28"/>
        </w:rPr>
      </w:pPr>
    </w:p>
    <w:sectPr w:rsidR="007B1FFA" w:rsidRPr="0054287C" w:rsidSect="00A74369">
      <w:footerReference w:type="default" r:id="rId8"/>
      <w:pgSz w:w="11907" w:h="16840" w:code="9"/>
      <w:pgMar w:top="1077" w:right="1134" w:bottom="107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F6A" w:rsidRDefault="009A1F6A" w:rsidP="00A40EAA">
      <w:pPr>
        <w:spacing w:after="0" w:line="240" w:lineRule="auto"/>
      </w:pPr>
      <w:r>
        <w:separator/>
      </w:r>
    </w:p>
  </w:endnote>
  <w:endnote w:type="continuationSeparator" w:id="0">
    <w:p w:rsidR="009A1F6A" w:rsidRDefault="009A1F6A" w:rsidP="00A4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71574"/>
      <w:docPartObj>
        <w:docPartGallery w:val="Page Numbers (Bottom of Page)"/>
        <w:docPartUnique/>
      </w:docPartObj>
    </w:sdtPr>
    <w:sdtEndPr>
      <w:rPr>
        <w:noProof/>
      </w:rPr>
    </w:sdtEndPr>
    <w:sdtContent>
      <w:p w:rsidR="00A40EAA" w:rsidRDefault="00DD535A">
        <w:pPr>
          <w:pStyle w:val="Footer"/>
          <w:jc w:val="right"/>
        </w:pPr>
        <w:r w:rsidRPr="00A40EAA">
          <w:rPr>
            <w:sz w:val="28"/>
            <w:szCs w:val="28"/>
          </w:rPr>
          <w:fldChar w:fldCharType="begin"/>
        </w:r>
        <w:r w:rsidR="00A40EAA" w:rsidRPr="00A40EAA">
          <w:rPr>
            <w:sz w:val="28"/>
            <w:szCs w:val="28"/>
          </w:rPr>
          <w:instrText xml:space="preserve"> PAGE   \* MERGEFORMAT </w:instrText>
        </w:r>
        <w:r w:rsidRPr="00A40EAA">
          <w:rPr>
            <w:sz w:val="28"/>
            <w:szCs w:val="28"/>
          </w:rPr>
          <w:fldChar w:fldCharType="separate"/>
        </w:r>
        <w:r w:rsidR="009A1F6A">
          <w:rPr>
            <w:noProof/>
            <w:sz w:val="28"/>
            <w:szCs w:val="28"/>
          </w:rPr>
          <w:t>1</w:t>
        </w:r>
        <w:r w:rsidRPr="00A40EAA">
          <w:rPr>
            <w:noProof/>
            <w:sz w:val="28"/>
            <w:szCs w:val="28"/>
          </w:rPr>
          <w:fldChar w:fldCharType="end"/>
        </w:r>
      </w:p>
    </w:sdtContent>
  </w:sdt>
  <w:p w:rsidR="00A40EAA" w:rsidRDefault="00A40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F6A" w:rsidRDefault="009A1F6A" w:rsidP="00A40EAA">
      <w:pPr>
        <w:spacing w:after="0" w:line="240" w:lineRule="auto"/>
      </w:pPr>
      <w:r>
        <w:separator/>
      </w:r>
    </w:p>
  </w:footnote>
  <w:footnote w:type="continuationSeparator" w:id="0">
    <w:p w:rsidR="009A1F6A" w:rsidRDefault="009A1F6A" w:rsidP="00A40E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9DB"/>
    <w:rsid w:val="000152DD"/>
    <w:rsid w:val="00034C3C"/>
    <w:rsid w:val="00041A5F"/>
    <w:rsid w:val="000473C6"/>
    <w:rsid w:val="00097913"/>
    <w:rsid w:val="000C2132"/>
    <w:rsid w:val="000D09D9"/>
    <w:rsid w:val="001018F9"/>
    <w:rsid w:val="001074AF"/>
    <w:rsid w:val="00135198"/>
    <w:rsid w:val="0015442D"/>
    <w:rsid w:val="001A1778"/>
    <w:rsid w:val="001B7553"/>
    <w:rsid w:val="001C1960"/>
    <w:rsid w:val="001C6399"/>
    <w:rsid w:val="001D0BFD"/>
    <w:rsid w:val="00205637"/>
    <w:rsid w:val="00206774"/>
    <w:rsid w:val="00210EAF"/>
    <w:rsid w:val="00234F51"/>
    <w:rsid w:val="00242D6A"/>
    <w:rsid w:val="00266FE5"/>
    <w:rsid w:val="0028022E"/>
    <w:rsid w:val="00283343"/>
    <w:rsid w:val="002A04BE"/>
    <w:rsid w:val="002D5881"/>
    <w:rsid w:val="002E22CD"/>
    <w:rsid w:val="003044BB"/>
    <w:rsid w:val="00320099"/>
    <w:rsid w:val="003474E1"/>
    <w:rsid w:val="00353DA6"/>
    <w:rsid w:val="003546F9"/>
    <w:rsid w:val="003608F2"/>
    <w:rsid w:val="0036773F"/>
    <w:rsid w:val="003A19BE"/>
    <w:rsid w:val="003A1E00"/>
    <w:rsid w:val="003B5428"/>
    <w:rsid w:val="003B69DB"/>
    <w:rsid w:val="003E087D"/>
    <w:rsid w:val="0040125D"/>
    <w:rsid w:val="00410751"/>
    <w:rsid w:val="00431FE9"/>
    <w:rsid w:val="00447702"/>
    <w:rsid w:val="00480EEE"/>
    <w:rsid w:val="004B2EF0"/>
    <w:rsid w:val="004C22C6"/>
    <w:rsid w:val="004F32D9"/>
    <w:rsid w:val="00524BC0"/>
    <w:rsid w:val="00525F76"/>
    <w:rsid w:val="00533D2E"/>
    <w:rsid w:val="0054287C"/>
    <w:rsid w:val="00565254"/>
    <w:rsid w:val="00592C31"/>
    <w:rsid w:val="005A671E"/>
    <w:rsid w:val="005C0C63"/>
    <w:rsid w:val="005E5E57"/>
    <w:rsid w:val="005E756E"/>
    <w:rsid w:val="00650875"/>
    <w:rsid w:val="00664C35"/>
    <w:rsid w:val="006B5A09"/>
    <w:rsid w:val="006C72AC"/>
    <w:rsid w:val="006D4D7E"/>
    <w:rsid w:val="006F49B7"/>
    <w:rsid w:val="006F4DD8"/>
    <w:rsid w:val="00734731"/>
    <w:rsid w:val="00752AAD"/>
    <w:rsid w:val="00755CA3"/>
    <w:rsid w:val="00756DAD"/>
    <w:rsid w:val="00783597"/>
    <w:rsid w:val="007A0164"/>
    <w:rsid w:val="007A7D74"/>
    <w:rsid w:val="007B1FFA"/>
    <w:rsid w:val="007D45CA"/>
    <w:rsid w:val="007D66CD"/>
    <w:rsid w:val="008029A1"/>
    <w:rsid w:val="00804CCE"/>
    <w:rsid w:val="00811423"/>
    <w:rsid w:val="008249A0"/>
    <w:rsid w:val="008270FE"/>
    <w:rsid w:val="00841B13"/>
    <w:rsid w:val="00842B04"/>
    <w:rsid w:val="00850C0D"/>
    <w:rsid w:val="008A4D15"/>
    <w:rsid w:val="008A6917"/>
    <w:rsid w:val="008B6735"/>
    <w:rsid w:val="008B71C5"/>
    <w:rsid w:val="008C2C48"/>
    <w:rsid w:val="008F12A9"/>
    <w:rsid w:val="008F535A"/>
    <w:rsid w:val="009248FC"/>
    <w:rsid w:val="009327D1"/>
    <w:rsid w:val="0094090D"/>
    <w:rsid w:val="00951C3F"/>
    <w:rsid w:val="00953FAF"/>
    <w:rsid w:val="009A1F6A"/>
    <w:rsid w:val="009C7B5D"/>
    <w:rsid w:val="009F56E7"/>
    <w:rsid w:val="00A11AC7"/>
    <w:rsid w:val="00A40EAA"/>
    <w:rsid w:val="00A65943"/>
    <w:rsid w:val="00A664CD"/>
    <w:rsid w:val="00A74369"/>
    <w:rsid w:val="00A77A3C"/>
    <w:rsid w:val="00AB742A"/>
    <w:rsid w:val="00AC177C"/>
    <w:rsid w:val="00AE7389"/>
    <w:rsid w:val="00B03DFF"/>
    <w:rsid w:val="00B13CA7"/>
    <w:rsid w:val="00B168E8"/>
    <w:rsid w:val="00B22A7B"/>
    <w:rsid w:val="00B35B95"/>
    <w:rsid w:val="00B4389C"/>
    <w:rsid w:val="00B561E8"/>
    <w:rsid w:val="00B75EE1"/>
    <w:rsid w:val="00B774EC"/>
    <w:rsid w:val="00B8578E"/>
    <w:rsid w:val="00BA02B6"/>
    <w:rsid w:val="00BB12D7"/>
    <w:rsid w:val="00BB74FE"/>
    <w:rsid w:val="00BF1FAF"/>
    <w:rsid w:val="00BF49C2"/>
    <w:rsid w:val="00C47219"/>
    <w:rsid w:val="00C723E2"/>
    <w:rsid w:val="00C724EE"/>
    <w:rsid w:val="00C74177"/>
    <w:rsid w:val="00C75DEB"/>
    <w:rsid w:val="00C847D5"/>
    <w:rsid w:val="00CD2411"/>
    <w:rsid w:val="00CD3E3D"/>
    <w:rsid w:val="00CD4B81"/>
    <w:rsid w:val="00CE2BD9"/>
    <w:rsid w:val="00CE7BB5"/>
    <w:rsid w:val="00CF74A0"/>
    <w:rsid w:val="00D038E0"/>
    <w:rsid w:val="00D10012"/>
    <w:rsid w:val="00D102A7"/>
    <w:rsid w:val="00D25D02"/>
    <w:rsid w:val="00D413A7"/>
    <w:rsid w:val="00D7083B"/>
    <w:rsid w:val="00D8365E"/>
    <w:rsid w:val="00D84EF2"/>
    <w:rsid w:val="00D9480F"/>
    <w:rsid w:val="00DA6767"/>
    <w:rsid w:val="00DB3630"/>
    <w:rsid w:val="00DD535A"/>
    <w:rsid w:val="00E11C3D"/>
    <w:rsid w:val="00E14003"/>
    <w:rsid w:val="00E30BAD"/>
    <w:rsid w:val="00E315F3"/>
    <w:rsid w:val="00E32554"/>
    <w:rsid w:val="00E53981"/>
    <w:rsid w:val="00E81E6D"/>
    <w:rsid w:val="00EE54D8"/>
    <w:rsid w:val="00F00F71"/>
    <w:rsid w:val="00F4707F"/>
    <w:rsid w:val="00F6293D"/>
    <w:rsid w:val="00FA13D4"/>
    <w:rsid w:val="00FC6096"/>
    <w:rsid w:val="00FD368A"/>
    <w:rsid w:val="00FF72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9DB"/>
    <w:rPr>
      <w:rFonts w:eastAsia="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B5D"/>
    <w:pPr>
      <w:ind w:left="720"/>
      <w:contextualSpacing/>
    </w:pPr>
  </w:style>
  <w:style w:type="paragraph" w:styleId="NormalWeb">
    <w:name w:val="Normal (Web)"/>
    <w:basedOn w:val="Normal"/>
    <w:rsid w:val="009C7B5D"/>
    <w:pPr>
      <w:spacing w:before="100" w:after="100" w:line="240" w:lineRule="auto"/>
    </w:pPr>
    <w:rPr>
      <w:rFonts w:eastAsia="Times New Roman"/>
      <w:sz w:val="24"/>
      <w:szCs w:val="20"/>
    </w:rPr>
  </w:style>
  <w:style w:type="paragraph" w:styleId="Header">
    <w:name w:val="header"/>
    <w:basedOn w:val="Normal"/>
    <w:link w:val="HeaderChar"/>
    <w:uiPriority w:val="99"/>
    <w:unhideWhenUsed/>
    <w:rsid w:val="00A40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EAA"/>
    <w:rPr>
      <w:rFonts w:eastAsia="Calibri" w:cs="Times New Roman"/>
      <w:sz w:val="22"/>
    </w:rPr>
  </w:style>
  <w:style w:type="paragraph" w:styleId="Footer">
    <w:name w:val="footer"/>
    <w:basedOn w:val="Normal"/>
    <w:link w:val="FooterChar"/>
    <w:uiPriority w:val="99"/>
    <w:unhideWhenUsed/>
    <w:rsid w:val="00A40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EAA"/>
    <w:rPr>
      <w:rFonts w:eastAsia="Calibri" w:cs="Times New Roman"/>
      <w:sz w:val="22"/>
    </w:rPr>
  </w:style>
  <w:style w:type="paragraph" w:styleId="BalloonText">
    <w:name w:val="Balloon Text"/>
    <w:basedOn w:val="Normal"/>
    <w:link w:val="BalloonTextChar"/>
    <w:uiPriority w:val="99"/>
    <w:semiHidden/>
    <w:unhideWhenUsed/>
    <w:rsid w:val="00802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9A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9DB"/>
    <w:rPr>
      <w:rFonts w:eastAsia="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B5D"/>
    <w:pPr>
      <w:ind w:left="720"/>
      <w:contextualSpacing/>
    </w:pPr>
  </w:style>
  <w:style w:type="paragraph" w:styleId="NormalWeb">
    <w:name w:val="Normal (Web)"/>
    <w:basedOn w:val="Normal"/>
    <w:rsid w:val="009C7B5D"/>
    <w:pPr>
      <w:spacing w:before="100" w:after="100" w:line="240" w:lineRule="auto"/>
    </w:pPr>
    <w:rPr>
      <w:rFonts w:eastAsia="Times New Roman"/>
      <w:sz w:val="24"/>
      <w:szCs w:val="20"/>
    </w:rPr>
  </w:style>
  <w:style w:type="paragraph" w:styleId="Header">
    <w:name w:val="header"/>
    <w:basedOn w:val="Normal"/>
    <w:link w:val="HeaderChar"/>
    <w:uiPriority w:val="99"/>
    <w:unhideWhenUsed/>
    <w:rsid w:val="00A40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EAA"/>
    <w:rPr>
      <w:rFonts w:eastAsia="Calibri" w:cs="Times New Roman"/>
      <w:sz w:val="22"/>
    </w:rPr>
  </w:style>
  <w:style w:type="paragraph" w:styleId="Footer">
    <w:name w:val="footer"/>
    <w:basedOn w:val="Normal"/>
    <w:link w:val="FooterChar"/>
    <w:uiPriority w:val="99"/>
    <w:unhideWhenUsed/>
    <w:rsid w:val="00A40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EAA"/>
    <w:rPr>
      <w:rFonts w:eastAsia="Calibri" w:cs="Times New Roman"/>
      <w:sz w:val="22"/>
    </w:rPr>
  </w:style>
  <w:style w:type="paragraph" w:styleId="BalloonText">
    <w:name w:val="Balloon Text"/>
    <w:basedOn w:val="Normal"/>
    <w:link w:val="BalloonTextChar"/>
    <w:uiPriority w:val="99"/>
    <w:semiHidden/>
    <w:unhideWhenUsed/>
    <w:rsid w:val="00802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9A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037180">
      <w:bodyDiv w:val="1"/>
      <w:marLeft w:val="0"/>
      <w:marRight w:val="0"/>
      <w:marTop w:val="0"/>
      <w:marBottom w:val="0"/>
      <w:divBdr>
        <w:top w:val="none" w:sz="0" w:space="0" w:color="auto"/>
        <w:left w:val="none" w:sz="0" w:space="0" w:color="auto"/>
        <w:bottom w:val="none" w:sz="0" w:space="0" w:color="auto"/>
        <w:right w:val="none" w:sz="0" w:space="0" w:color="auto"/>
      </w:divBdr>
    </w:div>
    <w:div w:id="737552797">
      <w:bodyDiv w:val="1"/>
      <w:marLeft w:val="0"/>
      <w:marRight w:val="0"/>
      <w:marTop w:val="0"/>
      <w:marBottom w:val="0"/>
      <w:divBdr>
        <w:top w:val="none" w:sz="0" w:space="0" w:color="auto"/>
        <w:left w:val="none" w:sz="0" w:space="0" w:color="auto"/>
        <w:bottom w:val="none" w:sz="0" w:space="0" w:color="auto"/>
        <w:right w:val="none" w:sz="0" w:space="0" w:color="auto"/>
      </w:divBdr>
    </w:div>
    <w:div w:id="138125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B2B2F-A086-4A05-9949-2CFBBDB7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Sony</cp:lastModifiedBy>
  <cp:revision>11</cp:revision>
  <cp:lastPrinted>2019-12-13T02:15:00Z</cp:lastPrinted>
  <dcterms:created xsi:type="dcterms:W3CDTF">2019-12-13T01:45:00Z</dcterms:created>
  <dcterms:modified xsi:type="dcterms:W3CDTF">2019-12-13T02:54:00Z</dcterms:modified>
</cp:coreProperties>
</file>