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4163CF">
        <w:trPr>
          <w:trHeight w:val="1244"/>
        </w:trPr>
        <w:tc>
          <w:tcPr>
            <w:tcW w:w="1761" w:type="pct"/>
          </w:tcPr>
          <w:p w:rsidR="004163CF" w:rsidRDefault="002208E2">
            <w:pPr>
              <w:jc w:val="center"/>
              <w:rPr>
                <w:b/>
                <w:sz w:val="26"/>
                <w:szCs w:val="26"/>
              </w:rPr>
            </w:pPr>
            <w:r>
              <w:rPr>
                <w:b/>
                <w:sz w:val="26"/>
                <w:szCs w:val="26"/>
              </w:rPr>
              <w:t>HỘI ĐỒNG NHÂN DÂN</w:t>
            </w:r>
          </w:p>
          <w:p w:rsidR="004163CF" w:rsidRDefault="002208E2">
            <w:pPr>
              <w:jc w:val="center"/>
              <w:rPr>
                <w:b/>
                <w:sz w:val="26"/>
                <w:szCs w:val="26"/>
              </w:rPr>
            </w:pPr>
            <w:r>
              <w:rPr>
                <w:b/>
                <w:sz w:val="26"/>
                <w:szCs w:val="26"/>
              </w:rPr>
              <w:t>TỈNH HÀ TĨNH</w:t>
            </w:r>
          </w:p>
          <w:p w:rsidR="004163CF" w:rsidRDefault="002208E2">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52705</wp:posOffset>
                      </wp:positionV>
                      <wp:extent cx="923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b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"/>
                  </w:pict>
                </mc:Fallback>
              </mc:AlternateContent>
            </w:r>
          </w:p>
          <w:p w:rsidR="004163CF" w:rsidRDefault="002208E2">
            <w:pPr>
              <w:jc w:val="center"/>
              <w:rPr>
                <w:b/>
                <w:lang w:val="vi-VN"/>
              </w:rPr>
            </w:pPr>
            <w:r>
              <w:rPr>
                <w:sz w:val="26"/>
                <w:szCs w:val="26"/>
              </w:rPr>
              <w:t>Số:</w:t>
            </w:r>
            <w:r>
              <w:rPr>
                <w:sz w:val="26"/>
                <w:szCs w:val="26"/>
                <w:lang w:val="vi-VN"/>
              </w:rPr>
              <w:t xml:space="preserve"> 121</w:t>
            </w:r>
            <w:r>
              <w:rPr>
                <w:sz w:val="26"/>
                <w:szCs w:val="26"/>
              </w:rPr>
              <w:t>/BC-HĐND</w:t>
            </w:r>
          </w:p>
        </w:tc>
        <w:tc>
          <w:tcPr>
            <w:tcW w:w="3239" w:type="pct"/>
          </w:tcPr>
          <w:p w:rsidR="004163CF" w:rsidRDefault="002208E2">
            <w:pPr>
              <w:jc w:val="center"/>
              <w:rPr>
                <w:b/>
                <w:sz w:val="26"/>
                <w:szCs w:val="26"/>
                <w:lang w:val="vi-VN"/>
              </w:rPr>
            </w:pPr>
            <w:r>
              <w:rPr>
                <w:b/>
                <w:sz w:val="26"/>
                <w:szCs w:val="26"/>
                <w:lang w:val="vi-VN"/>
              </w:rPr>
              <w:t>CỘNG HÒA XÃ HỘI CHỦ NGHĨA VIỆT NAM</w:t>
            </w:r>
          </w:p>
          <w:p w:rsidR="004163CF" w:rsidRDefault="002208E2">
            <w:pPr>
              <w:jc w:val="center"/>
              <w:rPr>
                <w:b/>
                <w:sz w:val="26"/>
                <w:szCs w:val="26"/>
              </w:rPr>
            </w:pPr>
            <w:r>
              <w:rPr>
                <w:b/>
                <w:sz w:val="26"/>
                <w:szCs w:val="26"/>
              </w:rPr>
              <w:t>Độc lập - Tự do - Hạnh phúc</w:t>
            </w:r>
          </w:p>
          <w:p w:rsidR="004163CF" w:rsidRDefault="002208E2">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rsidR="004163CF" w:rsidRDefault="002208E2">
            <w:pPr>
              <w:jc w:val="center"/>
            </w:pPr>
            <w:r>
              <w:rPr>
                <w:i/>
                <w:sz w:val="26"/>
                <w:szCs w:val="26"/>
              </w:rPr>
              <w:t xml:space="preserve">Hà Tĩnh, ngày </w:t>
            </w:r>
            <w:r>
              <w:rPr>
                <w:i/>
                <w:sz w:val="26"/>
                <w:szCs w:val="26"/>
                <w:lang w:val="vi-VN"/>
              </w:rPr>
              <w:t>30</w:t>
            </w:r>
            <w:r>
              <w:rPr>
                <w:i/>
                <w:sz w:val="26"/>
                <w:szCs w:val="26"/>
              </w:rPr>
              <w:t xml:space="preserve"> tháng </w:t>
            </w:r>
            <w:r>
              <w:rPr>
                <w:i/>
                <w:sz w:val="26"/>
                <w:szCs w:val="26"/>
                <w:lang w:val="vi-VN"/>
              </w:rPr>
              <w:t>03</w:t>
            </w:r>
            <w:r>
              <w:rPr>
                <w:i/>
                <w:sz w:val="26"/>
                <w:szCs w:val="26"/>
              </w:rPr>
              <w:t xml:space="preserve"> năm </w:t>
            </w:r>
            <w:r>
              <w:rPr>
                <w:i/>
                <w:sz w:val="26"/>
                <w:szCs w:val="26"/>
                <w:lang w:val="vi-VN"/>
              </w:rPr>
              <w:t>2023</w:t>
            </w:r>
          </w:p>
        </w:tc>
      </w:tr>
    </w:tbl>
    <w:p w:rsidR="004163CF" w:rsidRDefault="004163CF">
      <w:pPr>
        <w:jc w:val="center"/>
        <w:outlineLvl w:val="0"/>
        <w:rPr>
          <w:b/>
          <w:sz w:val="32"/>
          <w:lang w:val="vi-VN"/>
        </w:rPr>
      </w:pPr>
    </w:p>
    <w:p w:rsidR="004163CF" w:rsidRDefault="002208E2">
      <w:pPr>
        <w:jc w:val="center"/>
        <w:outlineLvl w:val="0"/>
        <w:rPr>
          <w:b/>
          <w:lang w:val="vi-VN"/>
        </w:rPr>
      </w:pPr>
      <w:r>
        <w:rPr>
          <w:b/>
          <w:lang w:val="vi-VN"/>
        </w:rPr>
        <w:t>BÁO CÁO</w:t>
      </w:r>
    </w:p>
    <w:p w:rsidR="004163CF" w:rsidRDefault="002208E2">
      <w:pPr>
        <w:jc w:val="center"/>
        <w:rPr>
          <w:b/>
          <w:lang w:val="vi-VN"/>
        </w:rPr>
      </w:pPr>
      <w:r>
        <w:rPr>
          <w:b/>
          <w:lang w:val="vi-VN"/>
        </w:rPr>
        <w:t xml:space="preserve">Thẩm tra nhiệm vụ điều chỉnh, mở rộng </w:t>
      </w:r>
    </w:p>
    <w:p w:rsidR="004163CF" w:rsidRDefault="002208E2">
      <w:pPr>
        <w:jc w:val="center"/>
        <w:rPr>
          <w:b/>
          <w:kern w:val="28"/>
          <w:lang w:val="pt-BR"/>
        </w:rPr>
      </w:pPr>
      <w:r>
        <w:rPr>
          <w:b/>
          <w:lang w:val="vi-VN"/>
        </w:rPr>
        <w:t>Quy hoạch phân khu xây dựng</w:t>
      </w:r>
      <w:r>
        <w:rPr>
          <w:b/>
          <w:kern w:val="28"/>
          <w:lang w:val="pt-BR"/>
        </w:rPr>
        <w:t xml:space="preserve"> Khu du lịch biển Lộc Hà</w:t>
      </w:r>
    </w:p>
    <w:p w:rsidR="004163CF" w:rsidRDefault="002208E2">
      <w:pPr>
        <w:jc w:val="center"/>
        <w:rPr>
          <w:iCs/>
          <w:sz w:val="40"/>
          <w:lang w:val="vi-VN"/>
        </w:rPr>
      </w:pPr>
      <w:r>
        <w:rPr>
          <w:bCs/>
          <w:noProof/>
          <w:sz w:val="40"/>
        </w:rPr>
        <mc:AlternateContent>
          <mc:Choice Requires="wps">
            <w:drawing>
              <wp:anchor distT="0" distB="0" distL="114300" distR="114300" simplePos="0" relativeHeight="251661312" behindDoc="0" locked="0" layoutInCell="1" allowOverlap="1">
                <wp:simplePos x="0" y="0"/>
                <wp:positionH relativeFrom="column">
                  <wp:posOffset>1958975</wp:posOffset>
                </wp:positionH>
                <wp:positionV relativeFrom="paragraph">
                  <wp:posOffset>46355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65pt" to="300.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"/>
            </w:pict>
          </mc:Fallback>
        </mc:AlternateContent>
      </w:r>
    </w:p>
    <w:p w:rsidR="004163CF" w:rsidRDefault="002208E2" w:rsidP="006C2716">
      <w:pPr>
        <w:spacing w:after="120" w:line="380" w:lineRule="exact"/>
        <w:ind w:firstLine="720"/>
        <w:jc w:val="both"/>
        <w:rPr>
          <w:lang w:val="vi-VN"/>
        </w:rPr>
      </w:pPr>
      <w:r>
        <w:rPr>
          <w:lang w:val="vi-VN"/>
        </w:rPr>
        <w:t xml:space="preserve">Thực hiện chức năng, nhiệm vụ theo quy định và phân công của Thường trực Hội đồng nhân dân tỉnh, Ban Kinh tế - Ngân sách báo cáo kết quả thẩm tra nhiệm vụ điều chỉnh, mở rộng Quy hoạch phân khu xây dựng Khu du lịch biển huyện Lộc Hà; tỷ lệ 1/2000 </w:t>
      </w:r>
      <w:r>
        <w:t xml:space="preserve">theo đề nghị của Ủy ban nhân dân tỉnh tại Văn bàn số 1079/UBND-XD ngày 14/3/2023 </w:t>
      </w:r>
      <w:r>
        <w:rPr>
          <w:lang w:val="vi-VN"/>
        </w:rPr>
        <w:t>như sau:</w:t>
      </w:r>
    </w:p>
    <w:p w:rsidR="004163CF" w:rsidRDefault="002208E2" w:rsidP="006C2716">
      <w:pPr>
        <w:spacing w:after="120" w:line="380" w:lineRule="exact"/>
        <w:ind w:firstLine="720"/>
        <w:jc w:val="both"/>
        <w:rPr>
          <w:lang w:val="vi-VN"/>
        </w:rPr>
      </w:pPr>
      <w:r>
        <w:rPr>
          <w:b/>
        </w:rPr>
        <w:t>1. Căn cứ pháp lý, sự cần thiết và thẩm quyền ban hành</w:t>
      </w:r>
    </w:p>
    <w:p w:rsidR="004163CF" w:rsidRDefault="002208E2" w:rsidP="006C2716">
      <w:pPr>
        <w:spacing w:after="120" w:line="380" w:lineRule="exact"/>
        <w:ind w:firstLine="720"/>
        <w:jc w:val="both"/>
        <w:rPr>
          <w:shd w:val="clear" w:color="auto" w:fill="FFFFFF"/>
          <w:lang w:val="vi-VN"/>
        </w:rPr>
      </w:pPr>
      <w:bookmarkStart w:id="0" w:name="dieu_58"/>
      <w:r>
        <w:rPr>
          <w:kern w:val="28"/>
          <w:lang w:val="pt-BR"/>
        </w:rPr>
        <w:t>Quy hoạch phân khu xây dựng Khu du lịch biển Lộc Hà</w:t>
      </w:r>
      <w:r>
        <w:rPr>
          <w:lang w:val="vi-VN"/>
        </w:rPr>
        <w:t xml:space="preserve"> được Ủy ban nhân dân tỉnh phê duyệt tại Quyết định số 1695/QĐ-TTg ngày 11/6/2013 và điều chỉnh cục bộ tại Quyết định số 3095/QĐ-UBND ngày 30/10/2016. </w:t>
      </w:r>
      <w:r>
        <w:rPr>
          <w:kern w:val="28"/>
          <w:lang w:val="vi-VN"/>
        </w:rPr>
        <w:t xml:space="preserve">Nay Ủy ban nhân dân tỉnh </w:t>
      </w:r>
      <w:r>
        <w:rPr>
          <w:lang w:val="vi-VN"/>
        </w:rPr>
        <w:t xml:space="preserve">đề nghị Hội đồng nhân dân tỉnh xem xét quyết định </w:t>
      </w:r>
      <w:r>
        <w:rPr>
          <w:kern w:val="28"/>
          <w:lang w:val="vi-VN"/>
        </w:rPr>
        <w:t xml:space="preserve">nhiệm vụ </w:t>
      </w:r>
      <w:r>
        <w:rPr>
          <w:lang w:val="vi-VN"/>
        </w:rPr>
        <w:t xml:space="preserve">điều chỉnh, mở rộng Quy hoạch phân khu xây dựng Khu du lịch biển huyện Lộc Hà với diện tích </w:t>
      </w:r>
      <w:r>
        <w:t>387,9ha</w:t>
      </w:r>
      <w:r>
        <w:rPr>
          <w:rStyle w:val="FootnoteReference"/>
        </w:rPr>
        <w:footnoteReference w:id="1"/>
      </w:r>
      <w:r>
        <w:rPr>
          <w:shd w:val="clear" w:color="auto" w:fill="FFFFFF"/>
          <w:lang w:val="vi-VN"/>
        </w:rPr>
        <w:t>;</w:t>
      </w:r>
    </w:p>
    <w:p w:rsidR="004163CF" w:rsidRDefault="002208E2" w:rsidP="006C2716">
      <w:pPr>
        <w:spacing w:after="120" w:line="380" w:lineRule="exact"/>
        <w:ind w:firstLine="720"/>
        <w:jc w:val="both"/>
        <w:rPr>
          <w:shd w:val="clear" w:color="auto" w:fill="FFFFFF"/>
          <w:lang w:val="vi-VN"/>
        </w:rPr>
      </w:pPr>
      <w:r>
        <w:rPr>
          <w:shd w:val="clear" w:color="auto" w:fill="FFFFFF"/>
          <w:lang w:val="vi-VN"/>
        </w:rPr>
        <w:t xml:space="preserve">Theo báo cáo của </w:t>
      </w:r>
      <w:r>
        <w:rPr>
          <w:shd w:val="clear" w:color="auto" w:fill="FFFFFF"/>
        </w:rPr>
        <w:t xml:space="preserve">Sở Xây dựng, </w:t>
      </w:r>
      <w:r>
        <w:rPr>
          <w:shd w:val="clear" w:color="auto" w:fill="FFFFFF"/>
          <w:lang w:val="vi-VN"/>
        </w:rPr>
        <w:t xml:space="preserve">việc điều chỉnh </w:t>
      </w:r>
      <w:r>
        <w:rPr>
          <w:lang w:val="vi-VN"/>
        </w:rPr>
        <w:t>Quy hoạch phân khu xây dựng Khu du lịch biển huyện Lộc Hà</w:t>
      </w:r>
      <w:r>
        <w:rPr>
          <w:shd w:val="clear" w:color="auto" w:fill="FFFFFF"/>
          <w:lang w:val="vi-VN"/>
        </w:rPr>
        <w:t xml:space="preserve"> nhằm </w:t>
      </w:r>
      <w:r>
        <w:rPr>
          <w:i/>
          <w:shd w:val="clear" w:color="auto" w:fill="FFFFFF"/>
          <w:lang w:val="vi-VN"/>
        </w:rPr>
        <w:t xml:space="preserve">“phục vụ lợi ích </w:t>
      </w:r>
      <w:r>
        <w:rPr>
          <w:i/>
          <w:shd w:val="clear" w:color="auto" w:fill="FFFFFF"/>
        </w:rPr>
        <w:t>Q</w:t>
      </w:r>
      <w:r>
        <w:rPr>
          <w:i/>
          <w:shd w:val="clear" w:color="auto" w:fill="FFFFFF"/>
          <w:lang w:val="vi-VN"/>
        </w:rPr>
        <w:t>uốc gia, lợi ích cộng đồng”</w:t>
      </w:r>
      <w:r>
        <w:rPr>
          <w:shd w:val="clear" w:color="auto" w:fill="FFFFFF"/>
          <w:lang w:val="vi-VN"/>
        </w:rPr>
        <w:t xml:space="preserve"> theo khoản 10 Điều 28 Luật sửa đổi, bổ sung một số Điều của 37 Luật có liên quan đến quy hoạch;</w:t>
      </w:r>
    </w:p>
    <w:p w:rsidR="004163CF" w:rsidRDefault="002208E2" w:rsidP="006C2716">
      <w:pPr>
        <w:spacing w:after="120" w:line="380" w:lineRule="exact"/>
        <w:ind w:firstLine="720"/>
        <w:jc w:val="both"/>
        <w:rPr>
          <w:lang w:val="vi-VN"/>
        </w:rPr>
      </w:pPr>
      <w:r>
        <w:rPr>
          <w:shd w:val="clear" w:color="auto" w:fill="FFFFFF"/>
          <w:lang w:val="vi-VN"/>
        </w:rPr>
        <w:t>Qua khảo sát thực tế</w:t>
      </w:r>
      <w:r>
        <w:rPr>
          <w:shd w:val="clear" w:color="auto" w:fill="FFFFFF"/>
        </w:rPr>
        <w:t xml:space="preserve"> và</w:t>
      </w:r>
      <w:r>
        <w:rPr>
          <w:shd w:val="clear" w:color="auto" w:fill="FFFFFF"/>
          <w:lang w:val="vi-VN"/>
        </w:rPr>
        <w:t xml:space="preserve"> nghiên cứu tài liệu</w:t>
      </w:r>
      <w:r>
        <w:rPr>
          <w:shd w:val="clear" w:color="auto" w:fill="FFFFFF"/>
        </w:rPr>
        <w:t>,</w:t>
      </w:r>
      <w:r>
        <w:rPr>
          <w:shd w:val="clear" w:color="auto" w:fill="FFFFFF"/>
          <w:lang w:val="vi-VN"/>
        </w:rPr>
        <w:t xml:space="preserve"> Ban Kinh tế - Ngân sách nhận thấy Quy hoạch phân khu </w:t>
      </w:r>
      <w:r>
        <w:rPr>
          <w:lang w:val="vi-VN"/>
        </w:rPr>
        <w:t>Khu du lịch biển huyện Lộc Hà thực hiện đến nay đã trên 05 năm</w:t>
      </w:r>
      <w:r>
        <w:t xml:space="preserve">; </w:t>
      </w:r>
      <w:r>
        <w:rPr>
          <w:lang w:val="vi-VN"/>
        </w:rPr>
        <w:t xml:space="preserve">việc rà soát, đánh giá quá trình thực hiện để kịp thời điều chỉnh phù hợp với tình hình phát triển kinh tế - xã hội trong giai đoạn hiện nay </w:t>
      </w:r>
      <w:r>
        <w:t>là đảm bảo quy định tại k</w:t>
      </w:r>
      <w:r>
        <w:rPr>
          <w:lang w:val="vi-VN"/>
        </w:rPr>
        <w:t>hoản 4 Điều 28 Luật sửa đổi, bổ sung một số Điều của 37 Luật có liên quan đến quy hoạch.</w:t>
      </w:r>
    </w:p>
    <w:p w:rsidR="004163CF" w:rsidRDefault="002208E2" w:rsidP="006C2716">
      <w:pPr>
        <w:spacing w:after="120" w:line="380" w:lineRule="exact"/>
        <w:ind w:firstLine="720"/>
        <w:jc w:val="both"/>
        <w:rPr>
          <w:lang w:val="vi-VN"/>
        </w:rPr>
      </w:pPr>
      <w:r>
        <w:t xml:space="preserve">Ủy ban nhân dân tỉnh </w:t>
      </w:r>
      <w:r>
        <w:rPr>
          <w:lang w:val="vi-VN"/>
        </w:rPr>
        <w:t xml:space="preserve">trình Hội đồng nhân dân tỉnh quyết định nhiệm vụ điều chỉnh, mở rộng Quy hoạch phân khu xây dựng Khu du lịch biển huyện Lộc Hà là đúng thẩm quyền quy định </w:t>
      </w:r>
      <w:r>
        <w:t xml:space="preserve">tại khoản 4 </w:t>
      </w:r>
      <w:r>
        <w:rPr>
          <w:rFonts w:hint="eastAsia"/>
        </w:rPr>
        <w:t>Đ</w:t>
      </w:r>
      <w:r>
        <w:t>iều 34 Luật Xây dựng n</w:t>
      </w:r>
      <w:r>
        <w:rPr>
          <w:rFonts w:hint="eastAsia"/>
        </w:rPr>
        <w:t>ă</w:t>
      </w:r>
      <w:r>
        <w:t xml:space="preserve">m 2014 </w:t>
      </w:r>
      <w:r>
        <w:lastRenderedPageBreak/>
        <w:t xml:space="preserve">(được sửa </w:t>
      </w:r>
      <w:r>
        <w:rPr>
          <w:rFonts w:hint="eastAsia"/>
        </w:rPr>
        <w:t>đ</w:t>
      </w:r>
      <w:r>
        <w:t xml:space="preserve">ổi, bổ sung tại khoản 9 </w:t>
      </w:r>
      <w:r>
        <w:rPr>
          <w:rFonts w:hint="eastAsia"/>
        </w:rPr>
        <w:t>Đ</w:t>
      </w:r>
      <w:r>
        <w:t xml:space="preserve">iều 28 Luật sửa </w:t>
      </w:r>
      <w:r>
        <w:rPr>
          <w:rFonts w:hint="eastAsia"/>
        </w:rPr>
        <w:t>đ</w:t>
      </w:r>
      <w:r>
        <w:t xml:space="preserve">ổi, bổ sung một số </w:t>
      </w:r>
      <w:r>
        <w:rPr>
          <w:rFonts w:hint="eastAsia"/>
        </w:rPr>
        <w:t>đ</w:t>
      </w:r>
      <w:r>
        <w:t xml:space="preserve">iều của 37 Luật liên quan </w:t>
      </w:r>
      <w:r>
        <w:rPr>
          <w:rFonts w:hint="eastAsia"/>
        </w:rPr>
        <w:t>đ</w:t>
      </w:r>
      <w:r>
        <w:t>ến quy hoạch ngày 20/11/2018)</w:t>
      </w:r>
      <w:r>
        <w:rPr>
          <w:lang w:val="vi-VN"/>
        </w:rPr>
        <w:t>.</w:t>
      </w:r>
    </w:p>
    <w:p w:rsidR="004163CF" w:rsidRDefault="002208E2" w:rsidP="006C2716">
      <w:pPr>
        <w:spacing w:after="120" w:line="380" w:lineRule="exact"/>
        <w:ind w:firstLine="720"/>
        <w:jc w:val="both"/>
        <w:rPr>
          <w:lang w:val="vi-VN"/>
        </w:rPr>
      </w:pPr>
      <w:r>
        <w:rPr>
          <w:b/>
        </w:rPr>
        <w:t>2. Về nội dung dự thảo Nghị quyết</w:t>
      </w:r>
      <w:r>
        <w:rPr>
          <w:lang w:val="vi-VN"/>
        </w:rPr>
        <w:t xml:space="preserve"> </w:t>
      </w:r>
    </w:p>
    <w:p w:rsidR="004163CF" w:rsidRDefault="002208E2" w:rsidP="006C2716">
      <w:pPr>
        <w:spacing w:after="120" w:line="380" w:lineRule="exact"/>
        <w:ind w:firstLine="720"/>
        <w:jc w:val="both"/>
        <w:rPr>
          <w:lang w:val="vi-VN"/>
        </w:rPr>
      </w:pPr>
      <w:r>
        <w:rPr>
          <w:lang w:val="vi-VN"/>
        </w:rPr>
        <w:t>Nhiệm vụ điều chỉnh, mở rộng Quy hoạch phân khu xây dựng Khu du lịch biển huyện Lộc Hà</w:t>
      </w:r>
      <w:r>
        <w:rPr>
          <w:kern w:val="28"/>
          <w:lang w:val="pt-BR"/>
        </w:rPr>
        <w:t xml:space="preserve"> đã được lấy ý kiến của </w:t>
      </w:r>
      <w:r>
        <w:rPr>
          <w:lang w:val="nl-NL"/>
        </w:rPr>
        <w:t>các sở, ngành, địa phương liên quan</w:t>
      </w:r>
      <w:r>
        <w:t xml:space="preserve">, cơ quan soạn thảo đã tiếp thu, giải trình </w:t>
      </w:r>
      <w:r>
        <w:rPr>
          <w:lang w:val="vi-VN"/>
        </w:rPr>
        <w:t xml:space="preserve">tổng hợp báo cáo </w:t>
      </w:r>
      <w:r>
        <w:t xml:space="preserve">Ủy ban nhân dân tỉnh trình </w:t>
      </w:r>
      <w:r>
        <w:rPr>
          <w:lang w:val="vi-VN"/>
        </w:rPr>
        <w:t>Hội đồng nhân dân tỉnh. Ban Kinh tế - Ngân sách cơ bản nhất trí về các nội dung tại Tờ trình và dự thảo Nghị quyết, đồng thời có một số ý kiến như sau:</w:t>
      </w:r>
    </w:p>
    <w:p w:rsidR="004163CF" w:rsidRDefault="002208E2" w:rsidP="006C2716">
      <w:pPr>
        <w:spacing w:after="120" w:line="380" w:lineRule="exact"/>
        <w:ind w:firstLine="720"/>
        <w:jc w:val="both"/>
      </w:pPr>
      <w:r>
        <w:t>- Bổ sung cơ sở, căn cứ lập quy hoạch; trong đó phải xác định rõ sự phù hợp với Quy hoạch tỉnh được Thủ tướng phê duyệt tại Quyết định số 1363/QĐ-TTg ngày 08/11/2023</w:t>
      </w:r>
      <w:r>
        <w:rPr>
          <w:lang w:val="vi-VN"/>
        </w:rPr>
        <w:t xml:space="preserve"> </w:t>
      </w:r>
      <w:r>
        <w:t xml:space="preserve">; </w:t>
      </w:r>
      <w:r>
        <w:rPr>
          <w:shd w:val="clear" w:color="auto" w:fill="FFFFFF"/>
          <w:lang w:val="vi-VN"/>
        </w:rPr>
        <w:t xml:space="preserve">hoạch chung xây dựng Khu vực du lịch - đô thị - thương mại ven biển Nghi Xuân - Lộc Hà đến năm 2040, tỷ lệ 1/5000 </w:t>
      </w:r>
      <w:r>
        <w:rPr>
          <w:shd w:val="clear" w:color="auto" w:fill="FFFFFF"/>
        </w:rPr>
        <w:t xml:space="preserve">được </w:t>
      </w:r>
      <w:r w:rsidR="006C4905">
        <w:rPr>
          <w:shd w:val="clear" w:color="auto" w:fill="FFFFFF"/>
        </w:rPr>
        <w:t xml:space="preserve">Ủy ban nhân dân </w:t>
      </w:r>
      <w:r>
        <w:rPr>
          <w:shd w:val="clear" w:color="auto" w:fill="FFFFFF"/>
        </w:rPr>
        <w:t xml:space="preserve">tỉnh phê duyệt tại </w:t>
      </w:r>
      <w:r>
        <w:rPr>
          <w:shd w:val="clear" w:color="auto" w:fill="FFFFFF"/>
          <w:lang w:val="vi-VN"/>
        </w:rPr>
        <w:t>Quyết định số 1904/QĐ-UBND ngày 21/6/2019</w:t>
      </w:r>
      <w:r>
        <w:t>; Quy hoạch sử dụng đất huyện Lộc Hà thời kỳ 2021-2030, tầm nhìn đến năm 2050; phù hợp với các quy hoạch liên quan khác và các quy định pháp luật.</w:t>
      </w:r>
    </w:p>
    <w:p w:rsidR="004163CF" w:rsidRDefault="002208E2" w:rsidP="006C2716">
      <w:pPr>
        <w:spacing w:after="120" w:line="380" w:lineRule="exact"/>
        <w:ind w:firstLine="720"/>
        <w:jc w:val="both"/>
        <w:rPr>
          <w:shd w:val="clear" w:color="auto" w:fill="FFFFFF"/>
          <w:lang w:val="vi-VN"/>
        </w:rPr>
      </w:pPr>
      <w:r>
        <w:rPr>
          <w:shd w:val="clear" w:color="auto" w:fill="FFFFFF"/>
          <w:lang w:val="vi-VN"/>
        </w:rPr>
        <w:t>- Bổ sung các nội dung, hạng mục hạ tầng kỹ thuật; các chỉ tiêu sử dụng đất trong nhiệm vụ điều chỉnh</w:t>
      </w:r>
      <w:r>
        <w:rPr>
          <w:lang w:val="vi-VN"/>
        </w:rPr>
        <w:t>, mở rộng Quy hoạch phân khu xây dựng Khu du lịch biển huyện Lộc Hà lần này</w:t>
      </w:r>
      <w:r>
        <w:rPr>
          <w:shd w:val="clear" w:color="auto" w:fill="FFFFFF"/>
          <w:lang w:val="vi-VN"/>
        </w:rPr>
        <w:t>;</w:t>
      </w:r>
    </w:p>
    <w:p w:rsidR="004163CF" w:rsidRDefault="002208E2" w:rsidP="006C2716">
      <w:pPr>
        <w:spacing w:after="120" w:line="380" w:lineRule="exact"/>
        <w:ind w:firstLine="720"/>
        <w:jc w:val="both"/>
        <w:rPr>
          <w:shd w:val="clear" w:color="auto" w:fill="FFFFFF"/>
          <w:lang w:val="vi-VN"/>
        </w:rPr>
      </w:pPr>
      <w:r>
        <w:rPr>
          <w:shd w:val="clear" w:color="auto" w:fill="FFFFFF"/>
          <w:lang w:val="vi-VN"/>
        </w:rPr>
        <w:t>- Về chỉ tiêu kinh tế - kỹ thuật; hồ sơ sản phẩm quy hoạch</w:t>
      </w:r>
      <w:r>
        <w:rPr>
          <w:shd w:val="clear" w:color="auto" w:fill="FFFFFF"/>
        </w:rPr>
        <w:t xml:space="preserve">, </w:t>
      </w:r>
      <w:r>
        <w:rPr>
          <w:shd w:val="clear" w:color="auto" w:fill="FFFFFF"/>
          <w:lang w:val="vi-VN"/>
        </w:rPr>
        <w:t>Ban Kinh tế - Ngân sách đề ngh</w:t>
      </w:r>
      <w:r>
        <w:rPr>
          <w:shd w:val="clear" w:color="auto" w:fill="FFFFFF"/>
        </w:rPr>
        <w:t xml:space="preserve">ị </w:t>
      </w:r>
      <w:r>
        <w:rPr>
          <w:shd w:val="clear" w:color="auto" w:fill="FFFFFF"/>
          <w:lang w:val="vi-VN"/>
        </w:rPr>
        <w:t>không giao rõ trong nhiệm vụ thực hiện quy hoạch; mà giao thực hiện đúng theo các tiêu chuẩn, kỹ thuật và các quy định pháp luật hiện hành có liên quan; Về nguồn vốn đề nghị sửa thành nguồn vốn ngân sách huyện Lộc Hà.</w:t>
      </w:r>
    </w:p>
    <w:p w:rsidR="004163CF" w:rsidRDefault="002208E2" w:rsidP="006C2716">
      <w:pPr>
        <w:spacing w:after="120" w:line="380" w:lineRule="exact"/>
        <w:ind w:firstLine="720"/>
        <w:jc w:val="both"/>
        <w:rPr>
          <w:lang w:val="sq-AL"/>
        </w:rPr>
      </w:pPr>
      <w:r>
        <w:rPr>
          <w:lang w:val="sq-AL"/>
        </w:rPr>
        <w:t xml:space="preserve">Trên đây là kết quả thẩm tra của Ban Kinh tế - Ngân sách về </w:t>
      </w:r>
      <w:r>
        <w:t xml:space="preserve">nhiệm vụ </w:t>
      </w:r>
      <w:r>
        <w:rPr>
          <w:kern w:val="28"/>
          <w:lang w:val="pt-BR"/>
        </w:rPr>
        <w:t xml:space="preserve">lập </w:t>
      </w:r>
      <w:r w:rsidR="00847717">
        <w:rPr>
          <w:lang w:val="vi-VN"/>
        </w:rPr>
        <w:t>điều chỉnh, mở rộng</w:t>
      </w:r>
      <w:r w:rsidR="00847717">
        <w:rPr>
          <w:kern w:val="28"/>
          <w:lang w:val="pt-BR"/>
        </w:rPr>
        <w:t xml:space="preserve"> </w:t>
      </w:r>
      <w:bookmarkStart w:id="1" w:name="_GoBack"/>
      <w:bookmarkEnd w:id="1"/>
      <w:r>
        <w:rPr>
          <w:kern w:val="28"/>
          <w:lang w:val="pt-BR"/>
        </w:rPr>
        <w:t xml:space="preserve">Quy hoạch phân khu xây dựng </w:t>
      </w:r>
      <w:r w:rsidR="00847717">
        <w:rPr>
          <w:lang w:val="vi-VN"/>
        </w:rPr>
        <w:t>Khu du lịch biển huyện Lộc Hà</w:t>
      </w:r>
      <w:r>
        <w:rPr>
          <w:iCs/>
        </w:rPr>
        <w:t>; kính trình Hội đồng nhân dân tỉnh xem xét, quyết định</w:t>
      </w:r>
      <w:r>
        <w:rPr>
          <w:lang w:val="sq-AL"/>
        </w:rPr>
        <w:t>./.</w:t>
      </w:r>
    </w:p>
    <w:bookmarkEnd w:id="0"/>
    <w:p w:rsidR="004163CF" w:rsidRDefault="004163CF">
      <w:pPr>
        <w:jc w:val="both"/>
        <w:rPr>
          <w:iCs/>
          <w:lang w:val="vi-VN"/>
        </w:rPr>
      </w:pPr>
    </w:p>
    <w:tbl>
      <w:tblPr>
        <w:tblW w:w="5000" w:type="pct"/>
        <w:tblLook w:val="0000" w:firstRow="0" w:lastRow="0" w:firstColumn="0" w:lastColumn="0" w:noHBand="0" w:noVBand="0"/>
      </w:tblPr>
      <w:tblGrid>
        <w:gridCol w:w="4696"/>
        <w:gridCol w:w="4592"/>
      </w:tblGrid>
      <w:tr w:rsidR="004163CF">
        <w:trPr>
          <w:trHeight w:val="1169"/>
        </w:trPr>
        <w:tc>
          <w:tcPr>
            <w:tcW w:w="2528" w:type="pct"/>
          </w:tcPr>
          <w:p w:rsidR="004163CF" w:rsidRDefault="002208E2">
            <w:pPr>
              <w:pStyle w:val="Heading1"/>
              <w:jc w:val="both"/>
              <w:rPr>
                <w:rFonts w:ascii="Times New Roman" w:hAnsi="Times New Roman"/>
                <w:sz w:val="22"/>
                <w:szCs w:val="22"/>
                <w:lang w:val="vi-VN"/>
              </w:rPr>
            </w:pPr>
            <w:r>
              <w:rPr>
                <w:rFonts w:ascii="Times New Roman" w:hAnsi="Times New Roman"/>
                <w:i/>
                <w:iCs/>
                <w:szCs w:val="24"/>
                <w:lang w:val="vi-VN"/>
              </w:rPr>
              <w:t>Nơi nhận</w:t>
            </w:r>
            <w:r>
              <w:rPr>
                <w:rFonts w:ascii="Times New Roman" w:hAnsi="Times New Roman"/>
                <w:i/>
                <w:iCs/>
                <w:sz w:val="22"/>
                <w:szCs w:val="22"/>
                <w:lang w:val="vi-VN"/>
              </w:rPr>
              <w:t>:</w:t>
            </w:r>
          </w:p>
          <w:p w:rsidR="004163CF" w:rsidRDefault="002208E2">
            <w:pPr>
              <w:pStyle w:val="Heading1"/>
              <w:jc w:val="both"/>
              <w:rPr>
                <w:rFonts w:ascii="Times New Roman" w:hAnsi="Times New Roman"/>
                <w:b w:val="0"/>
                <w:sz w:val="22"/>
                <w:szCs w:val="22"/>
                <w:lang w:val="vi-VN"/>
              </w:rPr>
            </w:pPr>
            <w:r>
              <w:rPr>
                <w:rFonts w:ascii="Times New Roman" w:hAnsi="Times New Roman"/>
                <w:b w:val="0"/>
                <w:sz w:val="22"/>
                <w:szCs w:val="22"/>
                <w:lang w:val="vi-VN"/>
              </w:rPr>
              <w:t>- TT Tỉnh ủy, TT HĐND tỉnh (</w:t>
            </w:r>
            <w:r>
              <w:rPr>
                <w:rFonts w:ascii="Times New Roman" w:hAnsi="Times New Roman"/>
                <w:b w:val="0"/>
                <w:i/>
                <w:sz w:val="22"/>
                <w:szCs w:val="22"/>
                <w:lang w:val="vi-VN"/>
              </w:rPr>
              <w:t>b/c</w:t>
            </w:r>
            <w:r>
              <w:rPr>
                <w:rFonts w:ascii="Times New Roman" w:hAnsi="Times New Roman"/>
                <w:b w:val="0"/>
                <w:sz w:val="22"/>
                <w:szCs w:val="22"/>
                <w:lang w:val="vi-VN"/>
              </w:rPr>
              <w:t>);</w:t>
            </w:r>
          </w:p>
          <w:p w:rsidR="004163CF" w:rsidRDefault="002208E2">
            <w:pPr>
              <w:pStyle w:val="Heading1"/>
              <w:jc w:val="both"/>
              <w:rPr>
                <w:rFonts w:ascii="Times New Roman" w:hAnsi="Times New Roman"/>
                <w:b w:val="0"/>
                <w:sz w:val="22"/>
                <w:szCs w:val="22"/>
                <w:lang w:val="vi-VN"/>
              </w:rPr>
            </w:pPr>
            <w:r>
              <w:rPr>
                <w:rFonts w:ascii="Times New Roman" w:hAnsi="Times New Roman"/>
                <w:b w:val="0"/>
                <w:sz w:val="22"/>
                <w:szCs w:val="22"/>
                <w:lang w:val="vi-VN"/>
              </w:rPr>
              <w:t>- UBND tỉnh; UBMTTQVN tỉnh;</w:t>
            </w:r>
          </w:p>
          <w:p w:rsidR="004163CF" w:rsidRDefault="002208E2">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HĐND tỉnh khóa XVIII;</w:t>
            </w:r>
          </w:p>
          <w:p w:rsidR="004163CF" w:rsidRDefault="002208E2">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tham dự kỳ họp thứ 12;</w:t>
            </w:r>
          </w:p>
          <w:p w:rsidR="004163CF" w:rsidRDefault="002208E2">
            <w:pPr>
              <w:pStyle w:val="Heading1"/>
              <w:jc w:val="both"/>
              <w:rPr>
                <w:rFonts w:ascii="Times New Roman" w:hAnsi="Times New Roman"/>
                <w:b w:val="0"/>
                <w:sz w:val="22"/>
                <w:szCs w:val="22"/>
                <w:lang w:val="vi-VN"/>
              </w:rPr>
            </w:pPr>
            <w:r>
              <w:rPr>
                <w:rFonts w:ascii="Times New Roman" w:hAnsi="Times New Roman"/>
                <w:b w:val="0"/>
                <w:sz w:val="22"/>
                <w:szCs w:val="22"/>
                <w:lang w:val="vi-VN"/>
              </w:rPr>
              <w:t>- Văn phòng Đoàn ĐBQH và HĐND tỉnh;</w:t>
            </w:r>
          </w:p>
          <w:p w:rsidR="004163CF" w:rsidRDefault="002208E2">
            <w:pPr>
              <w:pStyle w:val="Heading1"/>
              <w:jc w:val="both"/>
              <w:rPr>
                <w:sz w:val="22"/>
                <w:szCs w:val="22"/>
                <w:lang w:val="da-DK"/>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1</w:t>
            </w:r>
            <w:r>
              <w:rPr>
                <w:rFonts w:ascii="Times New Roman" w:hAnsi="Times New Roman"/>
                <w:b w:val="0"/>
                <w:sz w:val="22"/>
                <w:szCs w:val="22"/>
                <w:lang w:val="vi-VN"/>
              </w:rPr>
              <w:t>.</w:t>
            </w:r>
          </w:p>
        </w:tc>
        <w:tc>
          <w:tcPr>
            <w:tcW w:w="2472" w:type="pct"/>
          </w:tcPr>
          <w:p w:rsidR="004163CF" w:rsidRDefault="002208E2">
            <w:pPr>
              <w:jc w:val="center"/>
              <w:rPr>
                <w:b/>
                <w:sz w:val="26"/>
                <w:szCs w:val="26"/>
                <w:lang w:val="da-DK"/>
              </w:rPr>
            </w:pPr>
            <w:r>
              <w:rPr>
                <w:b/>
                <w:sz w:val="26"/>
                <w:szCs w:val="26"/>
                <w:lang w:val="da-DK"/>
              </w:rPr>
              <w:t>TM. BAN KINH TẾ - NGÂN SÁCH</w:t>
            </w:r>
          </w:p>
          <w:p w:rsidR="004163CF" w:rsidRDefault="002208E2">
            <w:pPr>
              <w:jc w:val="center"/>
              <w:rPr>
                <w:b/>
                <w:sz w:val="26"/>
                <w:szCs w:val="26"/>
                <w:lang w:val="da-DK"/>
              </w:rPr>
            </w:pPr>
            <w:r>
              <w:rPr>
                <w:b/>
                <w:sz w:val="26"/>
                <w:szCs w:val="26"/>
                <w:lang w:val="da-DK"/>
              </w:rPr>
              <w:t>TRƯỞNG BAN</w:t>
            </w:r>
          </w:p>
          <w:p w:rsidR="004163CF" w:rsidRDefault="004163CF">
            <w:pPr>
              <w:jc w:val="center"/>
              <w:rPr>
                <w:sz w:val="26"/>
                <w:szCs w:val="26"/>
                <w:lang w:val="da-DK"/>
              </w:rPr>
            </w:pPr>
          </w:p>
          <w:p w:rsidR="004163CF" w:rsidRDefault="004163CF">
            <w:pPr>
              <w:jc w:val="center"/>
              <w:rPr>
                <w:b/>
                <w:sz w:val="26"/>
                <w:szCs w:val="26"/>
                <w:lang w:val="vi-VN"/>
              </w:rPr>
            </w:pPr>
          </w:p>
          <w:p w:rsidR="004163CF" w:rsidRDefault="004163CF">
            <w:pPr>
              <w:jc w:val="center"/>
              <w:rPr>
                <w:i/>
                <w:sz w:val="26"/>
                <w:szCs w:val="26"/>
                <w:lang w:val="sv-SE"/>
              </w:rPr>
            </w:pPr>
          </w:p>
          <w:p w:rsidR="004163CF" w:rsidRDefault="004163CF">
            <w:pPr>
              <w:jc w:val="center"/>
              <w:rPr>
                <w:i/>
                <w:sz w:val="26"/>
                <w:szCs w:val="26"/>
                <w:lang w:val="sv-SE"/>
              </w:rPr>
            </w:pPr>
          </w:p>
          <w:p w:rsidR="004163CF" w:rsidRDefault="004163CF">
            <w:pPr>
              <w:jc w:val="center"/>
              <w:rPr>
                <w:i/>
                <w:sz w:val="26"/>
                <w:szCs w:val="26"/>
                <w:lang w:val="sv-SE"/>
              </w:rPr>
            </w:pPr>
          </w:p>
          <w:p w:rsidR="004163CF" w:rsidRDefault="004163CF">
            <w:pPr>
              <w:jc w:val="center"/>
              <w:rPr>
                <w:b/>
                <w:sz w:val="26"/>
                <w:szCs w:val="26"/>
                <w:lang w:val="vi-VN"/>
              </w:rPr>
            </w:pPr>
          </w:p>
          <w:p w:rsidR="004163CF" w:rsidRDefault="004163CF">
            <w:pPr>
              <w:jc w:val="center"/>
              <w:rPr>
                <w:b/>
                <w:sz w:val="26"/>
                <w:szCs w:val="26"/>
                <w:lang w:val="da-DK"/>
              </w:rPr>
            </w:pPr>
          </w:p>
          <w:p w:rsidR="004163CF" w:rsidRDefault="002208E2">
            <w:pPr>
              <w:jc w:val="center"/>
              <w:rPr>
                <w:lang w:val="es-PR"/>
              </w:rPr>
            </w:pPr>
            <w:r>
              <w:rPr>
                <w:b/>
                <w:sz w:val="26"/>
                <w:szCs w:val="26"/>
                <w:lang w:val="es-PR"/>
              </w:rPr>
              <w:t>Nguyễn Thị Thúy Nga</w:t>
            </w:r>
          </w:p>
        </w:tc>
      </w:tr>
    </w:tbl>
    <w:p w:rsidR="004163CF" w:rsidRDefault="004163CF">
      <w:pPr>
        <w:rPr>
          <w:sz w:val="2"/>
          <w:szCs w:val="2"/>
          <w:lang w:val="vi-VN"/>
        </w:rPr>
      </w:pPr>
    </w:p>
    <w:p w:rsidR="004163CF" w:rsidRDefault="004163CF">
      <w:pPr>
        <w:spacing w:after="200" w:line="276" w:lineRule="auto"/>
        <w:rPr>
          <w:sz w:val="2"/>
          <w:szCs w:val="2"/>
          <w:lang w:val="vi-VN"/>
        </w:rPr>
      </w:pPr>
    </w:p>
    <w:sectPr w:rsidR="004163CF">
      <w:headerReference w:type="default" r:id="rId9"/>
      <w:footerReference w:type="default" r:id="rId10"/>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910" w:rsidRDefault="008D2910">
      <w:r>
        <w:separator/>
      </w:r>
    </w:p>
  </w:endnote>
  <w:endnote w:type="continuationSeparator" w:id="0">
    <w:p w:rsidR="008D2910" w:rsidRDefault="008D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CF" w:rsidRDefault="004163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910" w:rsidRDefault="008D2910">
      <w:r>
        <w:separator/>
      </w:r>
    </w:p>
  </w:footnote>
  <w:footnote w:type="continuationSeparator" w:id="0">
    <w:p w:rsidR="008D2910" w:rsidRDefault="008D2910">
      <w:r>
        <w:continuationSeparator/>
      </w:r>
    </w:p>
  </w:footnote>
  <w:footnote w:id="1">
    <w:p w:rsidR="004163CF" w:rsidRDefault="002208E2">
      <w:pPr>
        <w:pStyle w:val="FootnoteText"/>
        <w:rPr>
          <w:lang w:val="vi-VN"/>
        </w:rPr>
      </w:pPr>
      <w:r>
        <w:rPr>
          <w:rStyle w:val="FootnoteReference"/>
        </w:rPr>
        <w:footnoteRef/>
      </w:r>
      <w:r>
        <w:t xml:space="preserve"> </w:t>
      </w:r>
      <w:r>
        <w:rPr>
          <w:lang w:val="vi-VN"/>
        </w:rPr>
        <w:t>Trong đó:</w:t>
      </w:r>
    </w:p>
    <w:p w:rsidR="004163CF" w:rsidRDefault="002208E2">
      <w:pPr>
        <w:pStyle w:val="FootnoteText"/>
        <w:rPr>
          <w:i/>
          <w:lang w:val="vi-VN"/>
        </w:rPr>
      </w:pPr>
      <w:r>
        <w:rPr>
          <w:lang w:val="vi-VN"/>
        </w:rPr>
        <w:t xml:space="preserve">- </w:t>
      </w:r>
      <w:r>
        <w:t xml:space="preserve">Khu phía Bắc thuộc xã Thịnh Lộc, huyện Lộc Hà: Diện tích lập điều chỉnh, mở rộng quy hoạch 148,7 ha </w:t>
      </w:r>
      <w:r>
        <w:rPr>
          <w:i/>
        </w:rPr>
        <w:t>(diện tích mở rộng 48,7ha, diện tích điều chỉnh 100,0 ha)</w:t>
      </w:r>
      <w:r>
        <w:rPr>
          <w:i/>
          <w:lang w:val="vi-VN"/>
        </w:rPr>
        <w:t>;</w:t>
      </w:r>
    </w:p>
    <w:p w:rsidR="004163CF" w:rsidRDefault="002208E2">
      <w:pPr>
        <w:pStyle w:val="FootnoteText"/>
        <w:rPr>
          <w:lang w:val="vi-VN"/>
        </w:rPr>
      </w:pPr>
      <w:r>
        <w:t xml:space="preserve">- Khu phía Nam thuộc thị trấn Lộc Hà và xã Thịnh Lộc: Diện tích lập điều chỉnh quy hoạch 239,2 </w:t>
      </w:r>
      <w:r>
        <w:rPr>
          <w:lang w:val="vi-VN"/>
        </w:rPr>
        <w:t>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rsidR="004163CF" w:rsidRDefault="002208E2">
        <w:pPr>
          <w:pStyle w:val="Header"/>
          <w:jc w:val="center"/>
        </w:pPr>
        <w:r>
          <w:fldChar w:fldCharType="begin"/>
        </w:r>
        <w:r>
          <w:instrText xml:space="preserve"> PAGE   \* MERGEFORMAT </w:instrText>
        </w:r>
        <w:r>
          <w:fldChar w:fldCharType="separate"/>
        </w:r>
        <w:r w:rsidR="0084771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CF"/>
    <w:rsid w:val="00101A5E"/>
    <w:rsid w:val="002208E2"/>
    <w:rsid w:val="004163CF"/>
    <w:rsid w:val="004F6E03"/>
    <w:rsid w:val="00566481"/>
    <w:rsid w:val="006C2716"/>
    <w:rsid w:val="006C4905"/>
    <w:rsid w:val="008468F6"/>
    <w:rsid w:val="00847717"/>
    <w:rsid w:val="008D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28B87-0829-40B2-9057-34DD3006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5</cp:revision>
  <cp:lastPrinted>2023-03-30T03:40:00Z</cp:lastPrinted>
  <dcterms:created xsi:type="dcterms:W3CDTF">2023-03-31T03:11:00Z</dcterms:created>
  <dcterms:modified xsi:type="dcterms:W3CDTF">2023-03-31T04:29:00Z</dcterms:modified>
</cp:coreProperties>
</file>