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468"/>
        <w:gridCol w:w="5820"/>
      </w:tblGrid>
      <w:tr w:rsidR="00D238D0" w:rsidTr="00D238D0">
        <w:trPr>
          <w:trHeight w:val="1258"/>
        </w:trPr>
        <w:tc>
          <w:tcPr>
            <w:tcW w:w="1867" w:type="pct"/>
          </w:tcPr>
          <w:p w:rsidR="00D238D0" w:rsidRDefault="00D238D0" w:rsidP="00D238D0">
            <w:pPr>
              <w:jc w:val="center"/>
              <w:rPr>
                <w:b/>
                <w:sz w:val="26"/>
                <w:szCs w:val="26"/>
                <w:lang w:val="de-DE"/>
              </w:rPr>
            </w:pPr>
            <w:r>
              <w:rPr>
                <w:b/>
                <w:sz w:val="26"/>
                <w:szCs w:val="26"/>
                <w:lang w:val="de-DE"/>
              </w:rPr>
              <w:t>HỘI ĐỒNG NHÂN DÂN</w:t>
            </w:r>
          </w:p>
          <w:p w:rsidR="00D238D0" w:rsidRDefault="00D238D0" w:rsidP="00D238D0">
            <w:pPr>
              <w:jc w:val="center"/>
              <w:rPr>
                <w:b/>
                <w:bCs/>
                <w:sz w:val="26"/>
                <w:szCs w:val="26"/>
                <w:lang w:val="de-DE"/>
              </w:rPr>
            </w:pPr>
            <w:r>
              <w:rPr>
                <w:b/>
                <w:bCs/>
                <w:sz w:val="26"/>
                <w:szCs w:val="26"/>
                <w:lang w:val="de-DE"/>
              </w:rPr>
              <w:t>TỈNH HÀ TĨNH</w:t>
            </w:r>
          </w:p>
          <w:p w:rsidR="00D238D0" w:rsidRDefault="00D238D0" w:rsidP="00D238D0">
            <w:pPr>
              <w:jc w:val="center"/>
              <w:rPr>
                <w:szCs w:val="28"/>
                <w:lang w:val="de-DE"/>
              </w:rPr>
            </w:pPr>
            <w:r>
              <w:rPr>
                <w:rFonts w:ascii=".VnTime" w:hAnsi=".VnTime"/>
                <w:noProof/>
                <w:szCs w:val="28"/>
              </w:rPr>
              <mc:AlternateContent>
                <mc:Choice Requires="wps">
                  <w:drawing>
                    <wp:anchor distT="4294967293" distB="4294967293" distL="114300" distR="114300" simplePos="0" relativeHeight="251656704" behindDoc="0" locked="0" layoutInCell="1" allowOverlap="1" wp14:anchorId="7B370A67" wp14:editId="09970BAB">
                      <wp:simplePos x="0" y="0"/>
                      <wp:positionH relativeFrom="column">
                        <wp:posOffset>691515</wp:posOffset>
                      </wp:positionH>
                      <wp:positionV relativeFrom="paragraph">
                        <wp:posOffset>14604</wp:posOffset>
                      </wp:positionV>
                      <wp:extent cx="5524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4E318E" id="Straight Connector 7"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45pt,1.15pt" to="9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VmHAIAADU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"/>
                  </w:pict>
                </mc:Fallback>
              </mc:AlternateContent>
            </w:r>
          </w:p>
          <w:p w:rsidR="00D238D0" w:rsidRDefault="00D238D0" w:rsidP="00D238D0">
            <w:pPr>
              <w:jc w:val="center"/>
              <w:rPr>
                <w:szCs w:val="28"/>
                <w:lang w:val="vi-VN"/>
              </w:rPr>
            </w:pPr>
            <w:r>
              <w:t>Số</w:t>
            </w:r>
            <w:r w:rsidR="00A601DE">
              <w:t>: 367</w:t>
            </w:r>
            <w:r>
              <w:t>/BC-HĐND</w:t>
            </w:r>
          </w:p>
        </w:tc>
        <w:tc>
          <w:tcPr>
            <w:tcW w:w="3133" w:type="pct"/>
          </w:tcPr>
          <w:p w:rsidR="00D238D0" w:rsidRDefault="00D238D0" w:rsidP="00D238D0">
            <w:pPr>
              <w:ind w:hanging="108"/>
              <w:jc w:val="center"/>
              <w:rPr>
                <w:b/>
                <w:bCs/>
                <w:sz w:val="26"/>
                <w:szCs w:val="26"/>
                <w:lang w:val="de-DE"/>
              </w:rPr>
            </w:pPr>
            <w:r>
              <w:rPr>
                <w:b/>
                <w:bCs/>
                <w:sz w:val="26"/>
                <w:szCs w:val="26"/>
                <w:lang w:val="de-DE"/>
              </w:rPr>
              <w:t>CỘNG HÒA XÃ HỘI CHỦ NGHĨA VIỆT NAM</w:t>
            </w:r>
          </w:p>
          <w:p w:rsidR="00D238D0" w:rsidRDefault="00D238D0" w:rsidP="00D238D0">
            <w:pPr>
              <w:jc w:val="center"/>
              <w:rPr>
                <w:b/>
                <w:bCs/>
                <w:szCs w:val="28"/>
              </w:rPr>
            </w:pPr>
            <w:r>
              <w:rPr>
                <w:b/>
                <w:bCs/>
              </w:rPr>
              <w:t xml:space="preserve">Độc lập </w:t>
            </w:r>
            <w:r>
              <w:rPr>
                <w:bCs/>
              </w:rPr>
              <w:t>-</w:t>
            </w:r>
            <w:r>
              <w:rPr>
                <w:b/>
                <w:bCs/>
              </w:rPr>
              <w:t xml:space="preserve"> Tự do</w:t>
            </w:r>
            <w:r>
              <w:rPr>
                <w:bCs/>
              </w:rPr>
              <w:t xml:space="preserve"> -</w:t>
            </w:r>
            <w:r>
              <w:rPr>
                <w:b/>
                <w:bCs/>
              </w:rPr>
              <w:t xml:space="preserve"> Hạnh phúc</w:t>
            </w:r>
          </w:p>
          <w:p w:rsidR="00D238D0" w:rsidRDefault="00D238D0" w:rsidP="00D238D0">
            <w:pPr>
              <w:jc w:val="center"/>
              <w:rPr>
                <w:i/>
              </w:rPr>
            </w:pPr>
            <w:r>
              <w:rPr>
                <w:rFonts w:ascii=".VnTime" w:hAnsi=".VnTime"/>
                <w:noProof/>
              </w:rPr>
              <mc:AlternateContent>
                <mc:Choice Requires="wps">
                  <w:drawing>
                    <wp:anchor distT="4294967293" distB="4294967293" distL="114300" distR="114300" simplePos="0" relativeHeight="251657728" behindDoc="0" locked="0" layoutInCell="1" allowOverlap="1" wp14:anchorId="02A74CC2" wp14:editId="67385357">
                      <wp:simplePos x="0" y="0"/>
                      <wp:positionH relativeFrom="column">
                        <wp:posOffset>899160</wp:posOffset>
                      </wp:positionH>
                      <wp:positionV relativeFrom="paragraph">
                        <wp:posOffset>38099</wp:posOffset>
                      </wp:positionV>
                      <wp:extent cx="1866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EB6369" id="Straight Connector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8pt,3pt" to="21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O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"/>
                  </w:pict>
                </mc:Fallback>
              </mc:AlternateContent>
            </w:r>
          </w:p>
          <w:p w:rsidR="00D238D0" w:rsidRDefault="00A601DE" w:rsidP="00D238D0">
            <w:pPr>
              <w:jc w:val="center"/>
            </w:pPr>
            <w:r>
              <w:rPr>
                <w:i/>
              </w:rPr>
              <w:t xml:space="preserve">Hà Tĩnh, ngày 12 </w:t>
            </w:r>
            <w:r w:rsidR="00D238D0">
              <w:rPr>
                <w:i/>
              </w:rPr>
              <w:t>tháng 7 năm 2023</w:t>
            </w:r>
          </w:p>
          <w:p w:rsidR="00D238D0" w:rsidRDefault="00D238D0" w:rsidP="00D238D0">
            <w:pPr>
              <w:jc w:val="center"/>
              <w:rPr>
                <w:i/>
                <w:iCs/>
                <w:szCs w:val="28"/>
                <w:lang w:val="vi-VN"/>
              </w:rPr>
            </w:pPr>
          </w:p>
        </w:tc>
      </w:tr>
    </w:tbl>
    <w:p w:rsidR="00D238D0" w:rsidRDefault="00D238D0" w:rsidP="00BE7739">
      <w:pPr>
        <w:tabs>
          <w:tab w:val="left" w:pos="8978"/>
        </w:tabs>
        <w:ind w:left="68" w:right="261" w:hanging="68"/>
        <w:jc w:val="center"/>
        <w:rPr>
          <w:b/>
          <w:color w:val="000000" w:themeColor="text1"/>
        </w:rPr>
      </w:pPr>
      <w:r w:rsidRPr="00B7195E">
        <w:rPr>
          <w:b/>
          <w:color w:val="000000" w:themeColor="text1"/>
        </w:rPr>
        <w:t>BÁO CÁO</w:t>
      </w:r>
    </w:p>
    <w:p w:rsidR="00D238D0" w:rsidRDefault="00D238D0" w:rsidP="00BE7739">
      <w:pPr>
        <w:jc w:val="center"/>
        <w:rPr>
          <w:b/>
          <w:color w:val="000000" w:themeColor="text1"/>
          <w:spacing w:val="-4"/>
        </w:rPr>
      </w:pPr>
      <w:r>
        <w:rPr>
          <w:b/>
          <w:color w:val="000000" w:themeColor="text1"/>
          <w:spacing w:val="-4"/>
        </w:rPr>
        <w:t>Th</w:t>
      </w:r>
      <w:r w:rsidRPr="00CA01D0">
        <w:rPr>
          <w:b/>
          <w:color w:val="000000" w:themeColor="text1"/>
          <w:spacing w:val="-4"/>
        </w:rPr>
        <w:t>ẩm</w:t>
      </w:r>
      <w:r>
        <w:rPr>
          <w:b/>
          <w:color w:val="000000" w:themeColor="text1"/>
          <w:spacing w:val="-4"/>
        </w:rPr>
        <w:t xml:space="preserve"> tra d</w:t>
      </w:r>
      <w:r w:rsidRPr="00521205">
        <w:rPr>
          <w:b/>
          <w:color w:val="000000" w:themeColor="text1"/>
          <w:spacing w:val="-4"/>
        </w:rPr>
        <w:t>ự</w:t>
      </w:r>
      <w:r>
        <w:rPr>
          <w:b/>
          <w:color w:val="000000" w:themeColor="text1"/>
          <w:spacing w:val="-4"/>
        </w:rPr>
        <w:t xml:space="preserve"> </w:t>
      </w:r>
      <w:r w:rsidRPr="00230EAF">
        <w:rPr>
          <w:b/>
          <w:color w:val="000000" w:themeColor="text1"/>
          <w:spacing w:val="-4"/>
        </w:rPr>
        <w:t xml:space="preserve">thảo Nghị quyết </w:t>
      </w:r>
      <w:bookmarkStart w:id="0" w:name="_Hlk106957634"/>
      <w:r>
        <w:rPr>
          <w:b/>
          <w:color w:val="000000" w:themeColor="text1"/>
          <w:spacing w:val="-4"/>
        </w:rPr>
        <w:t>Q</w:t>
      </w:r>
      <w:r w:rsidRPr="00230EAF">
        <w:rPr>
          <w:b/>
          <w:color w:val="000000" w:themeColor="text1"/>
          <w:spacing w:val="-4"/>
        </w:rPr>
        <w:t xml:space="preserve">uy định mức hỗ trợ thường xuyên hàng tháng cho chức danh </w:t>
      </w:r>
      <w:r w:rsidRPr="00230EAF">
        <w:rPr>
          <w:b/>
          <w:color w:val="000000" w:themeColor="text1"/>
          <w:spacing w:val="-4"/>
          <w:lang w:val="vi-VN"/>
        </w:rPr>
        <w:t>Đ</w:t>
      </w:r>
      <w:r w:rsidRPr="00230EAF">
        <w:rPr>
          <w:b/>
          <w:color w:val="000000" w:themeColor="text1"/>
          <w:spacing w:val="-4"/>
        </w:rPr>
        <w:t xml:space="preserve">ội trưởng, </w:t>
      </w:r>
      <w:r w:rsidRPr="00230EAF">
        <w:rPr>
          <w:b/>
          <w:color w:val="000000" w:themeColor="text1"/>
          <w:spacing w:val="-4"/>
          <w:lang w:val="vi-VN"/>
        </w:rPr>
        <w:t>Đ</w:t>
      </w:r>
      <w:r w:rsidRPr="00230EAF">
        <w:rPr>
          <w:b/>
          <w:color w:val="000000" w:themeColor="text1"/>
          <w:spacing w:val="-4"/>
        </w:rPr>
        <w:t>ội phó đội dân phòng trên địa bàn tỉnh</w:t>
      </w:r>
      <w:bookmarkEnd w:id="0"/>
    </w:p>
    <w:p w:rsidR="00D238D0" w:rsidRDefault="00D238D0" w:rsidP="00BE7739">
      <w:pPr>
        <w:jc w:val="center"/>
        <w:rPr>
          <w:b/>
          <w:spacing w:val="-4"/>
        </w:rPr>
      </w:pPr>
      <w:r>
        <w:rPr>
          <w:bCs/>
          <w:i/>
          <w:iCs/>
          <w:color w:val="000000"/>
          <w:sz w:val="26"/>
          <w:szCs w:val="26"/>
        </w:rPr>
        <w:t>(Trình tại Kỳ họp thứ 14, HĐND tỉnh khóa XVIII)</w:t>
      </w:r>
    </w:p>
    <w:p w:rsidR="00CA5442" w:rsidRPr="00CA5442" w:rsidRDefault="004929E2" w:rsidP="00D238D0">
      <w:pPr>
        <w:jc w:val="center"/>
      </w:pPr>
      <w:r>
        <w:rPr>
          <w:noProof/>
        </w:rPr>
        <mc:AlternateContent>
          <mc:Choice Requires="wps">
            <w:drawing>
              <wp:anchor distT="0" distB="0" distL="114300" distR="114300" simplePos="0" relativeHeight="251658752" behindDoc="0" locked="0" layoutInCell="1" allowOverlap="1" wp14:anchorId="76E21888" wp14:editId="5AD407C6">
                <wp:simplePos x="0" y="0"/>
                <wp:positionH relativeFrom="column">
                  <wp:posOffset>2023110</wp:posOffset>
                </wp:positionH>
                <wp:positionV relativeFrom="paragraph">
                  <wp:posOffset>35658</wp:posOffset>
                </wp:positionV>
                <wp:extent cx="1547446"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5474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7F3D400"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9.3pt,2.8pt" to="281.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" strokecolor="black [3040]"/>
            </w:pict>
          </mc:Fallback>
        </mc:AlternateContent>
      </w:r>
    </w:p>
    <w:p w:rsidR="00CA5442" w:rsidRPr="00CA5442" w:rsidRDefault="00BE7739" w:rsidP="00587219">
      <w:pPr>
        <w:pStyle w:val="Style4"/>
        <w:spacing w:before="120" w:after="120"/>
        <w:ind w:left="0" w:firstLine="720"/>
      </w:pPr>
      <w:r>
        <w:t>Ban Pháp chế Hội đồng nhân dân tỉnh được ph</w:t>
      </w:r>
      <w:r w:rsidR="004B5A0C">
        <w:t xml:space="preserve">ân công thẩm tra Tờ trình số 249/TTr-UBND ngày 04 </w:t>
      </w:r>
      <w:r>
        <w:t xml:space="preserve">tháng 7 năm 2023 của Uỷ ban nhân dân tỉnh và dự thảo Nghị quyết </w:t>
      </w:r>
      <w:r w:rsidRPr="00BE7739">
        <w:rPr>
          <w:color w:val="000000" w:themeColor="text1"/>
          <w:spacing w:val="-4"/>
        </w:rPr>
        <w:t xml:space="preserve">Quy định mức hỗ trợ thường xuyên hàng tháng cho chức danh </w:t>
      </w:r>
      <w:r w:rsidRPr="00BE7739">
        <w:rPr>
          <w:color w:val="000000" w:themeColor="text1"/>
          <w:spacing w:val="-4"/>
          <w:lang w:val="vi-VN"/>
        </w:rPr>
        <w:t>Đ</w:t>
      </w:r>
      <w:r w:rsidRPr="00BE7739">
        <w:rPr>
          <w:color w:val="000000" w:themeColor="text1"/>
          <w:spacing w:val="-4"/>
        </w:rPr>
        <w:t xml:space="preserve">ội trưởng, </w:t>
      </w:r>
      <w:r w:rsidRPr="00BE7739">
        <w:rPr>
          <w:color w:val="000000" w:themeColor="text1"/>
          <w:spacing w:val="-4"/>
          <w:lang w:val="vi-VN"/>
        </w:rPr>
        <w:t>Đ</w:t>
      </w:r>
      <w:r w:rsidRPr="00BE7739">
        <w:rPr>
          <w:color w:val="000000" w:themeColor="text1"/>
          <w:spacing w:val="-4"/>
        </w:rPr>
        <w:t>ội phó đội dân phòng trên địa bàn tỉnh</w:t>
      </w:r>
      <w:r w:rsidR="00BD4D9A">
        <w:t xml:space="preserve">. </w:t>
      </w:r>
      <w:r>
        <w:t xml:space="preserve">Ban Pháp chế Hội đồng nhân dân tỉnh báo cáo kết quả thẩm tra như sau: </w:t>
      </w:r>
    </w:p>
    <w:p w:rsidR="00CA5442" w:rsidRPr="00BE7739" w:rsidRDefault="00BE7739" w:rsidP="00587219">
      <w:pPr>
        <w:spacing w:before="120" w:after="120"/>
        <w:rPr>
          <w:b/>
        </w:rPr>
      </w:pPr>
      <w:r>
        <w:tab/>
      </w:r>
      <w:r w:rsidR="00CA5442" w:rsidRPr="00BE7739">
        <w:rPr>
          <w:b/>
        </w:rPr>
        <w:t xml:space="preserve">1. Về căn cứ pháp lý và sự cần thiết ban hành Nghị quyết </w:t>
      </w:r>
    </w:p>
    <w:p w:rsidR="00CA5442" w:rsidRPr="00E42581" w:rsidRDefault="00BE7739" w:rsidP="00587219">
      <w:pPr>
        <w:spacing w:before="120" w:after="120"/>
        <w:rPr>
          <w:i/>
        </w:rPr>
      </w:pPr>
      <w:r>
        <w:tab/>
      </w:r>
      <w:r w:rsidR="00CA5442" w:rsidRPr="00E42581">
        <w:rPr>
          <w:i/>
        </w:rPr>
        <w:t>a) Căn cứ pháp lý</w:t>
      </w:r>
      <w:r w:rsidR="00463DB3">
        <w:rPr>
          <w:i/>
        </w:rPr>
        <w:t>:</w:t>
      </w:r>
      <w:r w:rsidR="00CA5442" w:rsidRPr="00E42581">
        <w:rPr>
          <w:i/>
        </w:rPr>
        <w:t xml:space="preserve"> </w:t>
      </w:r>
    </w:p>
    <w:p w:rsidR="00CA5442" w:rsidRPr="00E42581" w:rsidRDefault="00BE7739" w:rsidP="00587219">
      <w:pPr>
        <w:spacing w:before="120" w:after="120"/>
      </w:pPr>
      <w:r>
        <w:tab/>
      </w:r>
      <w:r w:rsidR="00CA5442" w:rsidRPr="00CA5442">
        <w:t xml:space="preserve">Điểm b khoản 1 Điều 19 Luật Tổ chức Chính quyền địa phương năm 2015 (sửa đổi, bổ sung năm 2019) có quy định nhiệm vụ quyền hạn của Hội đồng nhân dân tỉnh: </w:t>
      </w:r>
      <w:r w:rsidR="00CA5442" w:rsidRPr="00E42581">
        <w:rPr>
          <w:i/>
        </w:rPr>
        <w:t>“… Quyết định biện pháp bảo đảm trật tự, an toàn xã hội, đấu tranh, phòng, chống tội phạm và các hành vi vi phạm pháp luật khác…; biên pháp bảo vệ tài sản của cơ quan, tổ chức bảo hộ tính mạng, tự do, danh dự, nhân phẩm, tài sản của cơ quan, tổ chức, tổ chức, bảo hộ tính mạng, tự do, danh dự, nhân phẩm, tài sản, các quyền và lợi ích hợp pháp khác của công dân trên địa bàn tỉnh</w:t>
      </w:r>
      <w:r w:rsidR="00E42581">
        <w:rPr>
          <w:i/>
        </w:rPr>
        <w:t>”</w:t>
      </w:r>
      <w:r w:rsidR="00CA5442" w:rsidRPr="00E42581">
        <w:rPr>
          <w:i/>
        </w:rPr>
        <w:t>;</w:t>
      </w:r>
      <w:r w:rsidR="00CA5442" w:rsidRPr="00E42581">
        <w:t xml:space="preserve"> </w:t>
      </w:r>
    </w:p>
    <w:p w:rsidR="00CA5442" w:rsidRPr="00CA5442" w:rsidRDefault="00BE7739" w:rsidP="00587219">
      <w:pPr>
        <w:spacing w:before="120" w:after="120"/>
      </w:pPr>
      <w:r>
        <w:tab/>
      </w:r>
      <w:r w:rsidR="00CA5442" w:rsidRPr="00CA5442">
        <w:t xml:space="preserve">Điểm 3 khoản 26 Điều 1 Luật sửa đổi, bổ sung một số điều của Luật Phòng cháy và chữa cháy ngày 22/11/2013 quy định </w:t>
      </w:r>
      <w:r w:rsidR="00CA5442" w:rsidRPr="004310A1">
        <w:rPr>
          <w:i/>
        </w:rPr>
        <w:t>“Đội trưởng, Đội phó đội dân phòng, đội phòng cháy và chữa cháy cơ sở không chuyên trách được hưởng chế độ hỗ trợ thường xuyên”</w:t>
      </w:r>
      <w:r w:rsidR="00CA5442" w:rsidRPr="00CA5442">
        <w:t xml:space="preserve">; </w:t>
      </w:r>
    </w:p>
    <w:p w:rsidR="00BE7739" w:rsidRDefault="00BE7739" w:rsidP="00587219">
      <w:pPr>
        <w:spacing w:before="120" w:after="120"/>
      </w:pPr>
      <w:r>
        <w:tab/>
      </w:r>
      <w:r w:rsidR="00CA5442" w:rsidRPr="00CA5442">
        <w:t xml:space="preserve">Khoản 7 Điều 2 Nghị quyết số 99/2019/QH14 ngày 27/11/2019 của Quốc hội về tiếp tục hoàn thiện, nâng cao hiệu lực, hiệu quả thực hiện chính sách pháp luật về phòng cháy và chữa cháy có nội dung: </w:t>
      </w:r>
      <w:r w:rsidR="00CA5442" w:rsidRPr="004310A1">
        <w:rPr>
          <w:i/>
        </w:rPr>
        <w:t xml:space="preserve">“Bảo đảm ngân sách </w:t>
      </w:r>
      <w:r w:rsidR="00463DB3">
        <w:rPr>
          <w:i/>
        </w:rPr>
        <w:t>N</w:t>
      </w:r>
      <w:r w:rsidR="00CA5442" w:rsidRPr="004310A1">
        <w:rPr>
          <w:i/>
        </w:rPr>
        <w:t>hà nước cho hoạt động phòng cháy, chữa cháy và lực lượng Cảnh sát phòng cháy, chữa cháy ở các cấp ngân sách đáp ứng yêu cầu nhiệm vụ. Thực hiện quy định về hỗ trợ thường xuyên cho đội trưởng, đội phó đội dân phòng và đội phòng cháy, chữa cháy cơ sở không chuyên trách”</w:t>
      </w:r>
      <w:r w:rsidR="00CA5442" w:rsidRPr="00CA5442">
        <w:t xml:space="preserve">; </w:t>
      </w:r>
    </w:p>
    <w:p w:rsidR="00CA5442" w:rsidRPr="00CA5442" w:rsidRDefault="00BE7739" w:rsidP="00587219">
      <w:pPr>
        <w:spacing w:before="120" w:after="120"/>
      </w:pPr>
      <w:r>
        <w:tab/>
      </w:r>
      <w:r w:rsidR="00CA5442" w:rsidRPr="00CA5442">
        <w:t>Khoản 2 Điều 34 Nghị định số 136/2020/NĐ-CP ngày 24/11/2020 của Chính phủ quy định “</w:t>
      </w:r>
      <w:r w:rsidR="00CA5442" w:rsidRPr="004310A1">
        <w:rPr>
          <w:i/>
        </w:rPr>
        <w:t>Chủ tịch Ủy ban nhân dân tỉnh, thành phố trực thuộc Trung ương có trách nhiệm trình Hội đồng nhân dân cùng cấp quyết định mức hỗ trợ thường xuyên hằng tháng cho các chức danh Đội trưởng, Đội phó đội dân phòng; mức hỗ trợ căn cứ điều kiện thực tế của từng địa phương nhưng không thấp hơn 15% lương tối thiểu vùng”</w:t>
      </w:r>
      <w:r w:rsidR="00CA5442" w:rsidRPr="00CA5442">
        <w:t xml:space="preserve">; </w:t>
      </w:r>
    </w:p>
    <w:p w:rsidR="00BE7739" w:rsidRPr="004310A1" w:rsidRDefault="00BE7739" w:rsidP="00587219">
      <w:pPr>
        <w:spacing w:before="120" w:after="120"/>
        <w:rPr>
          <w:i/>
        </w:rPr>
      </w:pPr>
      <w:r>
        <w:lastRenderedPageBreak/>
        <w:tab/>
      </w:r>
      <w:r w:rsidR="00CA5442" w:rsidRPr="004310A1">
        <w:rPr>
          <w:i/>
        </w:rPr>
        <w:t>b) Sự cần thiết ban hành Nghị quyết</w:t>
      </w:r>
    </w:p>
    <w:p w:rsidR="00511EDA" w:rsidRDefault="00BE7739" w:rsidP="00587219">
      <w:pPr>
        <w:spacing w:before="120" w:after="120"/>
      </w:pPr>
      <w:r>
        <w:tab/>
      </w:r>
      <w:r w:rsidR="00CA5442" w:rsidRPr="00CA5442">
        <w:t xml:space="preserve">Căn cứ Điều 44 Luật Phòng cháy và chữa cháy quy định: </w:t>
      </w:r>
      <w:r w:rsidR="00CA5442" w:rsidRPr="004310A1">
        <w:rPr>
          <w:i/>
        </w:rPr>
        <w:t>“Tại thôn, ấp, bản, tổ dân phố phải thành lập đội dân phòng. Đội dân phòng do Chủ tịch ủy ban nhân dân cấp xã thành lập, quản lý và chỉ đạo”</w:t>
      </w:r>
      <w:r w:rsidR="00CA5442" w:rsidRPr="00CA5442">
        <w:t xml:space="preserve">. Toàn tỉnh </w:t>
      </w:r>
      <w:r w:rsidR="004310A1">
        <w:t>Hà Tĩnh</w:t>
      </w:r>
      <w:r w:rsidR="00CA5442" w:rsidRPr="00CA5442">
        <w:t xml:space="preserve"> hiện có </w:t>
      </w:r>
      <w:r w:rsidR="00511EDA" w:rsidRPr="00511EDA">
        <w:rPr>
          <w:b/>
        </w:rPr>
        <w:t>1.936</w:t>
      </w:r>
      <w:r w:rsidR="00511EDA">
        <w:t xml:space="preserve"> </w:t>
      </w:r>
      <w:r w:rsidR="00CA5442" w:rsidRPr="00CA5442">
        <w:t xml:space="preserve">thôn, tổ dân phố; </w:t>
      </w:r>
      <w:r w:rsidR="00511EDA" w:rsidRPr="00E04236">
        <w:rPr>
          <w:szCs w:val="28"/>
        </w:rPr>
        <w:t xml:space="preserve">đã thành lập được </w:t>
      </w:r>
      <w:r w:rsidR="00511EDA" w:rsidRPr="00E04236">
        <w:rPr>
          <w:b/>
          <w:bCs/>
          <w:szCs w:val="28"/>
        </w:rPr>
        <w:t>1.936</w:t>
      </w:r>
      <w:r w:rsidR="00511EDA" w:rsidRPr="00E04236">
        <w:rPr>
          <w:szCs w:val="28"/>
        </w:rPr>
        <w:t xml:space="preserve"> Đội dân phòng với </w:t>
      </w:r>
      <w:r w:rsidR="00511EDA" w:rsidRPr="00E04236">
        <w:rPr>
          <w:b/>
          <w:bCs/>
          <w:szCs w:val="28"/>
        </w:rPr>
        <w:t>1.936</w:t>
      </w:r>
      <w:r w:rsidR="00511EDA" w:rsidRPr="00E04236">
        <w:rPr>
          <w:szCs w:val="28"/>
        </w:rPr>
        <w:t xml:space="preserve"> đồng chí Đội trưởng và </w:t>
      </w:r>
      <w:r w:rsidR="00511EDA" w:rsidRPr="00E04236">
        <w:rPr>
          <w:b/>
          <w:bCs/>
          <w:szCs w:val="28"/>
        </w:rPr>
        <w:t>1.972</w:t>
      </w:r>
      <w:r w:rsidR="00511EDA">
        <w:rPr>
          <w:szCs w:val="28"/>
        </w:rPr>
        <w:t xml:space="preserve"> đồng chí Đội phó</w:t>
      </w:r>
      <w:r w:rsidR="00511EDA">
        <w:t xml:space="preserve">. </w:t>
      </w:r>
      <w:r w:rsidR="00CA5442" w:rsidRPr="00CA5442">
        <w:t xml:space="preserve">Đội trưởng, Đội phó đội dân phòng có nhiệm vụ trực tiếp chỉ đạo lực lượng dân phòng kịp thời phối hợp nắm chắc tình hình, tham mưu cấp có thẩm quyền ban hành các nội quy an toàn về phòng cháy, chữa cháy (PCCC); tổ chức huấn luyện, bồi dưỡng nghiệp vụ PCCC; xây dựng phương án, chuẩn bị lực lượng, phương tiện và thực hiện nhiệm vụ chữa cháy khi có cháy xảy ra. </w:t>
      </w:r>
    </w:p>
    <w:p w:rsidR="00511EDA" w:rsidRPr="00E04236" w:rsidRDefault="00511EDA" w:rsidP="00587219">
      <w:pPr>
        <w:spacing w:before="120" w:after="120"/>
        <w:ind w:firstLine="709"/>
      </w:pPr>
      <w:r>
        <w:rPr>
          <w:szCs w:val="28"/>
        </w:rPr>
        <w:t xml:space="preserve">Hiện nay, </w:t>
      </w:r>
      <w:r w:rsidRPr="00E04236">
        <w:rPr>
          <w:szCs w:val="28"/>
        </w:rPr>
        <w:t>việc hỗ trợ hàng tháng cho chức danh Đội trưởng, Đội phó Đội dân phòng trên địa bàn tỉnh  chư</w:t>
      </w:r>
      <w:r>
        <w:rPr>
          <w:szCs w:val="28"/>
        </w:rPr>
        <w:t>a được thực hiện theo quy định.</w:t>
      </w:r>
      <w:r w:rsidR="000432DD">
        <w:rPr>
          <w:szCs w:val="28"/>
        </w:rPr>
        <w:t xml:space="preserve"> Qua </w:t>
      </w:r>
      <w:r w:rsidR="000432DD">
        <w:t>t</w:t>
      </w:r>
      <w:r w:rsidR="000432DD" w:rsidRPr="00CA5442">
        <w:t xml:space="preserve">ham khảo, đã có 54/63 tỉnh, thành phố </w:t>
      </w:r>
      <w:r w:rsidR="000432DD" w:rsidRPr="00AE152C">
        <w:rPr>
          <w:spacing w:val="-2"/>
        </w:rPr>
        <w:t>trực thuộc Trung ương  ban hành Nghị quyết về mức hỗ trợ thường xuyên hàng tháng cho các chức danh Đội trưởng, Đội phó Đội dân phòng, còn 09 tỉnh chưa</w:t>
      </w:r>
      <w:r w:rsidR="000432DD" w:rsidRPr="00AE152C">
        <w:rPr>
          <w:rFonts w:eastAsia="Yu Mincho"/>
          <w:spacing w:val="-2"/>
          <w:lang w:eastAsia="ja-JP"/>
        </w:rPr>
        <w:t xml:space="preserve"> ban hành</w:t>
      </w:r>
      <w:r w:rsidR="000432DD" w:rsidRPr="00CA5442">
        <w:t xml:space="preserve">, trong đó có tỉnh </w:t>
      </w:r>
      <w:r w:rsidR="000432DD">
        <w:t>Hà Tĩnh</w:t>
      </w:r>
      <w:r w:rsidR="000432DD" w:rsidRPr="00CA5442">
        <w:t xml:space="preserve">. </w:t>
      </w:r>
      <w:r>
        <w:t>V</w:t>
      </w:r>
      <w:r w:rsidRPr="00E04236">
        <w:t xml:space="preserve">ì vậy, chưa </w:t>
      </w:r>
      <w:r w:rsidR="000432DD">
        <w:t xml:space="preserve">kịp thời động viên, </w:t>
      </w:r>
      <w:r w:rsidRPr="00E04236">
        <w:t>phát huy được hết</w:t>
      </w:r>
      <w:r w:rsidR="000432DD">
        <w:t xml:space="preserve"> tinh thần,</w:t>
      </w:r>
      <w:r w:rsidRPr="00E04236">
        <w:t xml:space="preserve"> trách nhiệm của lực lượng này khi tham gia công tác PCCC và cứu nạn, cứu hộ (CNCH).</w:t>
      </w:r>
    </w:p>
    <w:p w:rsidR="000432DD" w:rsidRDefault="00BE7739" w:rsidP="00587219">
      <w:pPr>
        <w:spacing w:before="120" w:after="120"/>
      </w:pPr>
      <w:r>
        <w:tab/>
      </w:r>
      <w:r w:rsidR="00CA5442" w:rsidRPr="00CA5442">
        <w:t xml:space="preserve">Từ các căn cứ pháp lý và cơ sở thực tiễn trên, việc ban hành Nghị quyết của Hội đồng nhân dân tỉnh quy định mức hỗ trợ thường xuyên hằng tháng cho chức danh Đội trưởng, Đội phó đội dân phòng trên địa bàn tỉnh </w:t>
      </w:r>
      <w:r w:rsidR="00511EDA">
        <w:t>Hà Tĩnh</w:t>
      </w:r>
      <w:r w:rsidR="00CA5442" w:rsidRPr="00CA5442">
        <w:t xml:space="preserve"> là cần thiết, phù hợp với thực tế và đúng thẩm quyền theo quy định của pháp luật. </w:t>
      </w:r>
    </w:p>
    <w:p w:rsidR="00CA5442" w:rsidRPr="00CA5442" w:rsidRDefault="00BE7739" w:rsidP="00587219">
      <w:pPr>
        <w:spacing w:before="120" w:after="120"/>
      </w:pPr>
      <w:r>
        <w:tab/>
      </w:r>
      <w:r w:rsidR="00CA5442" w:rsidRPr="00BE7739">
        <w:rPr>
          <w:b/>
        </w:rPr>
        <w:t>2. Về nội dung dự thảo Nghị quyết</w:t>
      </w:r>
      <w:r w:rsidR="00CA5442" w:rsidRPr="00CA5442">
        <w:t xml:space="preserve"> </w:t>
      </w:r>
    </w:p>
    <w:p w:rsidR="00CA5442" w:rsidRPr="00CA5442" w:rsidRDefault="00BE7739" w:rsidP="00587219">
      <w:pPr>
        <w:spacing w:before="120" w:after="120"/>
      </w:pPr>
      <w:r>
        <w:tab/>
      </w:r>
      <w:r w:rsidR="00CA5442" w:rsidRPr="00CA5442">
        <w:t xml:space="preserve">Ban Pháp chế HĐND tỉnh cơ bản nhất trí với dự thảo Nghị quyết của Hội đồng nhân dân tỉnh quy định mức hỗ trợ thường xuyên hằng tháng cho chức danh Đội trưởng, Đội phó đội dân phòng trên địa bàn tỉnh </w:t>
      </w:r>
      <w:r w:rsidR="00511EDA">
        <w:t>Hà Tĩnh</w:t>
      </w:r>
      <w:r w:rsidR="000432DD">
        <w:t xml:space="preserve"> với </w:t>
      </w:r>
      <w:r w:rsidR="0065444D">
        <w:t>m</w:t>
      </w:r>
      <w:r w:rsidR="000432DD">
        <w:t>ức hỗ trợ hàng tháng cho Đội trưởng Đội dân phòng bằng 17% mức lương tối thiểu vùng/người/tháng; mức hỗ trợ cho Đội phó Đội dân phòng bằng 15% mức lương tối thiểu vùng/người/tháng</w:t>
      </w:r>
      <w:r w:rsidR="0065444D">
        <w:t>.</w:t>
      </w:r>
    </w:p>
    <w:p w:rsidR="00BE7739" w:rsidRDefault="00BE7739" w:rsidP="00587219">
      <w:pPr>
        <w:spacing w:before="120" w:after="120"/>
        <w:rPr>
          <w:color w:val="000000" w:themeColor="text1"/>
          <w:spacing w:val="-4"/>
        </w:rPr>
      </w:pPr>
      <w:r>
        <w:tab/>
      </w:r>
      <w:r w:rsidR="00701203" w:rsidRPr="00701203">
        <w:t>Đề nghị Hội đồng nhân dân tỉnh ban hành Nghị quyế</w:t>
      </w:r>
      <w:r w:rsidR="00701203">
        <w:t xml:space="preserve">t </w:t>
      </w:r>
      <w:r w:rsidR="00701203" w:rsidRPr="00BE7739">
        <w:rPr>
          <w:color w:val="000000" w:themeColor="text1"/>
          <w:spacing w:val="-4"/>
        </w:rPr>
        <w:t xml:space="preserve">Quy định mức hỗ trợ thường xuyên hàng tháng cho chức danh </w:t>
      </w:r>
      <w:r w:rsidR="00701203" w:rsidRPr="00BE7739">
        <w:rPr>
          <w:color w:val="000000" w:themeColor="text1"/>
          <w:spacing w:val="-4"/>
          <w:lang w:val="vi-VN"/>
        </w:rPr>
        <w:t>Đ</w:t>
      </w:r>
      <w:r w:rsidR="00701203" w:rsidRPr="00BE7739">
        <w:rPr>
          <w:color w:val="000000" w:themeColor="text1"/>
          <w:spacing w:val="-4"/>
        </w:rPr>
        <w:t xml:space="preserve">ội trưởng, </w:t>
      </w:r>
      <w:r w:rsidR="00701203" w:rsidRPr="00BE7739">
        <w:rPr>
          <w:color w:val="000000" w:themeColor="text1"/>
          <w:spacing w:val="-4"/>
          <w:lang w:val="vi-VN"/>
        </w:rPr>
        <w:t>Đ</w:t>
      </w:r>
      <w:r w:rsidR="00701203" w:rsidRPr="00BE7739">
        <w:rPr>
          <w:color w:val="000000" w:themeColor="text1"/>
          <w:spacing w:val="-4"/>
        </w:rPr>
        <w:t>ội phó đội dân phòng trên địa bàn tỉnh</w:t>
      </w:r>
      <w:r w:rsidR="00701203">
        <w:rPr>
          <w:color w:val="000000" w:themeColor="text1"/>
          <w:spacing w:val="-4"/>
        </w:rPr>
        <w:t xml:space="preserve"> tại kỳ họp này.</w:t>
      </w:r>
    </w:p>
    <w:p w:rsidR="00F94570" w:rsidRDefault="00701203" w:rsidP="00587219">
      <w:pPr>
        <w:spacing w:before="120" w:after="120"/>
      </w:pPr>
      <w:r>
        <w:rPr>
          <w:color w:val="000000" w:themeColor="text1"/>
          <w:spacing w:val="-4"/>
        </w:rPr>
        <w:tab/>
        <w:t xml:space="preserve">Đồng thời, </w:t>
      </w:r>
      <w:bookmarkStart w:id="1" w:name="_GoBack"/>
      <w:bookmarkEnd w:id="1"/>
      <w:r>
        <w:t>đ</w:t>
      </w:r>
      <w:r w:rsidR="00511EDA">
        <w:t xml:space="preserve">ề nghị Ủy ban nhân dân tỉnh chỉ đạo, </w:t>
      </w:r>
      <w:r w:rsidR="00CA5442" w:rsidRPr="00CA5442">
        <w:t>rà soát, xem xét kiện toàn đội dân phòng bảo đảm theo quy định tại Điều 30 Nghị định số 136/2020/NĐ-CP ngày 24/11/2020 của Chính phủ và phù hợp với điều kiện tình hình thực tế địa phương; rà soát và ban hành Quyết định bổ nhiệm, bổ nhiệm lại</w:t>
      </w:r>
      <w:r w:rsidR="00D20EEA">
        <w:t xml:space="preserve"> </w:t>
      </w:r>
      <w:r w:rsidR="00CA5442" w:rsidRPr="00CA5442">
        <w:t xml:space="preserve">Đội trưởng, Đội phó đội dân phòng theo hướng kiêm nhiệm bảo đảm phù hợp, thống nhất </w:t>
      </w:r>
      <w:r w:rsidR="0065444D">
        <w:t>trên địa bàn</w:t>
      </w:r>
      <w:r w:rsidR="00F94570">
        <w:t>.</w:t>
      </w:r>
      <w:r w:rsidR="00CA5442" w:rsidRPr="00CA5442">
        <w:t xml:space="preserve"> </w:t>
      </w:r>
    </w:p>
    <w:p w:rsidR="00CA5442" w:rsidRDefault="00F94570" w:rsidP="00587219">
      <w:pPr>
        <w:spacing w:before="120" w:after="120"/>
      </w:pPr>
      <w:r>
        <w:tab/>
      </w:r>
      <w:r w:rsidR="00CA5442" w:rsidRPr="00CA5442">
        <w:t xml:space="preserve">Tổ chức thực hiện Nghị quyết gắn với việc triển khai đồng bộ các quy định có liên quan tại Nghị định số 136/2020/NĐ-CP ngày 24/11/2020 của Chính phủ quy định chi tiết một số điều và biện pháp thi hành Luật Phòng cháy và </w:t>
      </w:r>
      <w:r w:rsidR="00CA5442" w:rsidRPr="00CA5442">
        <w:lastRenderedPageBreak/>
        <w:t xml:space="preserve">chữa cháy và Luật sửa đổi, bổ sung một số điều của Luật phòng cháy và chữa cháy. </w:t>
      </w:r>
    </w:p>
    <w:p w:rsidR="00587219" w:rsidRPr="00587219" w:rsidRDefault="00587219" w:rsidP="00587219">
      <w:pPr>
        <w:spacing w:before="120" w:after="120"/>
        <w:rPr>
          <w:bCs/>
        </w:rPr>
      </w:pPr>
      <w:r>
        <w:tab/>
        <w:t>Kịp thời tham mưu trình HĐND tỉnh ban hành Nghị quyết cụ thể hóa</w:t>
      </w:r>
      <w:r>
        <w:rPr>
          <w:bCs/>
        </w:rPr>
        <w:t xml:space="preserve"> quy định tại Nghị định 33/2023/NĐ-CP ngày 10/6/2023 của Chính phủ về cán bộ, công chức cấp xã và người hoạt động không chuyên trách ở cấp xã, thôn, tổ dân phố để tạo sự đồng thuận và công bằng cho nhóm đối tượng thực hiện nhiệm vụ khác ở thôn, tổ dân phố.</w:t>
      </w:r>
    </w:p>
    <w:p w:rsidR="00CC002E" w:rsidRDefault="00BE7739" w:rsidP="00587219">
      <w:pPr>
        <w:spacing w:before="120" w:after="120"/>
      </w:pPr>
      <w:r>
        <w:tab/>
      </w:r>
      <w:r w:rsidR="00CA5442" w:rsidRPr="00CA5442">
        <w:t>Ban Pháp chế Hội đồng nhân dân tỉnh kính trình Hội đồng nhân dân tỉnh xem xét, quyết định./.</w:t>
      </w:r>
    </w:p>
    <w:tbl>
      <w:tblPr>
        <w:tblW w:w="0" w:type="auto"/>
        <w:tblLook w:val="04A0" w:firstRow="1" w:lastRow="0" w:firstColumn="1" w:lastColumn="0" w:noHBand="0" w:noVBand="1"/>
      </w:tblPr>
      <w:tblGrid>
        <w:gridCol w:w="4644"/>
        <w:gridCol w:w="4644"/>
      </w:tblGrid>
      <w:tr w:rsidR="008D3170" w:rsidRPr="0048779D" w:rsidTr="002C72BF">
        <w:tc>
          <w:tcPr>
            <w:tcW w:w="4644" w:type="dxa"/>
            <w:shd w:val="clear" w:color="auto" w:fill="auto"/>
          </w:tcPr>
          <w:p w:rsidR="008D3170" w:rsidRPr="0048779D" w:rsidRDefault="008D3170" w:rsidP="002C72BF">
            <w:pPr>
              <w:pStyle w:val="Footer"/>
              <w:tabs>
                <w:tab w:val="clear" w:pos="4320"/>
                <w:tab w:val="clear" w:pos="8640"/>
              </w:tabs>
              <w:jc w:val="both"/>
              <w:rPr>
                <w:sz w:val="24"/>
                <w:szCs w:val="24"/>
              </w:rPr>
            </w:pPr>
            <w:r w:rsidRPr="0048779D">
              <w:rPr>
                <w:b/>
                <w:bCs/>
                <w:i/>
                <w:iCs/>
                <w:sz w:val="24"/>
                <w:szCs w:val="24"/>
              </w:rPr>
              <w:t>Nơi nhận:</w:t>
            </w:r>
            <w:r w:rsidRPr="0048779D">
              <w:rPr>
                <w:sz w:val="24"/>
                <w:szCs w:val="24"/>
              </w:rPr>
              <w:t xml:space="preserve"> </w:t>
            </w:r>
          </w:p>
          <w:p w:rsidR="008D3170" w:rsidRPr="00E001D6" w:rsidRDefault="008D3170" w:rsidP="002C72BF">
            <w:pPr>
              <w:pStyle w:val="Footer"/>
              <w:tabs>
                <w:tab w:val="clear" w:pos="4320"/>
                <w:tab w:val="clear" w:pos="8640"/>
              </w:tabs>
              <w:jc w:val="both"/>
              <w:rPr>
                <w:sz w:val="22"/>
                <w:szCs w:val="22"/>
              </w:rPr>
            </w:pPr>
            <w:r w:rsidRPr="00E001D6">
              <w:rPr>
                <w:sz w:val="22"/>
                <w:szCs w:val="22"/>
              </w:rPr>
              <w:t>- Thường trực HĐND tỉnh;</w:t>
            </w:r>
          </w:p>
          <w:p w:rsidR="008D3170" w:rsidRPr="00E001D6" w:rsidRDefault="008D3170" w:rsidP="002C72BF">
            <w:pPr>
              <w:pStyle w:val="Footer"/>
              <w:tabs>
                <w:tab w:val="clear" w:pos="4320"/>
                <w:tab w:val="clear" w:pos="8640"/>
              </w:tabs>
              <w:jc w:val="both"/>
              <w:rPr>
                <w:sz w:val="22"/>
                <w:szCs w:val="22"/>
              </w:rPr>
            </w:pPr>
            <w:r w:rsidRPr="00E001D6">
              <w:rPr>
                <w:sz w:val="22"/>
                <w:szCs w:val="22"/>
              </w:rPr>
              <w:t>- Ủy ban nhân dân tỉnh;</w:t>
            </w:r>
          </w:p>
          <w:p w:rsidR="008D3170" w:rsidRPr="00E001D6" w:rsidRDefault="008D3170" w:rsidP="002C72BF">
            <w:pPr>
              <w:pStyle w:val="Footer"/>
              <w:tabs>
                <w:tab w:val="clear" w:pos="4320"/>
                <w:tab w:val="clear" w:pos="8640"/>
              </w:tabs>
              <w:jc w:val="both"/>
              <w:rPr>
                <w:sz w:val="22"/>
                <w:szCs w:val="22"/>
              </w:rPr>
            </w:pPr>
            <w:r w:rsidRPr="00E001D6">
              <w:rPr>
                <w:sz w:val="22"/>
                <w:szCs w:val="22"/>
              </w:rPr>
              <w:t>- Thành viên Ban Pháp chế HĐND tỉnh;</w:t>
            </w:r>
          </w:p>
          <w:p w:rsidR="008D3170" w:rsidRDefault="008D3170" w:rsidP="002C72BF">
            <w:pPr>
              <w:pStyle w:val="Footer"/>
              <w:tabs>
                <w:tab w:val="clear" w:pos="4320"/>
                <w:tab w:val="clear" w:pos="8640"/>
              </w:tabs>
              <w:jc w:val="both"/>
              <w:rPr>
                <w:sz w:val="22"/>
                <w:szCs w:val="22"/>
              </w:rPr>
            </w:pPr>
            <w:r w:rsidRPr="00E001D6">
              <w:rPr>
                <w:sz w:val="22"/>
                <w:szCs w:val="22"/>
              </w:rPr>
              <w:t>- Đại biểu HĐND tỉ</w:t>
            </w:r>
            <w:r w:rsidR="001A6C96">
              <w:rPr>
                <w:sz w:val="22"/>
                <w:szCs w:val="22"/>
              </w:rPr>
              <w:t>nh;</w:t>
            </w:r>
            <w:r w:rsidRPr="00E001D6">
              <w:rPr>
                <w:sz w:val="22"/>
                <w:szCs w:val="22"/>
              </w:rPr>
              <w:t xml:space="preserve"> </w:t>
            </w:r>
          </w:p>
          <w:p w:rsidR="008D3170" w:rsidRPr="00E001D6" w:rsidRDefault="008D3170" w:rsidP="002C72BF">
            <w:pPr>
              <w:pStyle w:val="Footer"/>
              <w:tabs>
                <w:tab w:val="clear" w:pos="4320"/>
                <w:tab w:val="clear" w:pos="8640"/>
              </w:tabs>
              <w:jc w:val="both"/>
              <w:rPr>
                <w:sz w:val="22"/>
                <w:szCs w:val="22"/>
              </w:rPr>
            </w:pPr>
            <w:r w:rsidRPr="00E001D6">
              <w:rPr>
                <w:sz w:val="22"/>
                <w:szCs w:val="22"/>
              </w:rPr>
              <w:t>- Công an tỉnh;</w:t>
            </w:r>
          </w:p>
          <w:p w:rsidR="008D3170" w:rsidRPr="0048779D" w:rsidRDefault="008D3170" w:rsidP="002C72BF">
            <w:pPr>
              <w:pStyle w:val="Footer"/>
              <w:tabs>
                <w:tab w:val="clear" w:pos="4320"/>
                <w:tab w:val="clear" w:pos="8640"/>
              </w:tabs>
              <w:jc w:val="both"/>
              <w:rPr>
                <w:szCs w:val="28"/>
              </w:rPr>
            </w:pPr>
            <w:r>
              <w:rPr>
                <w:sz w:val="22"/>
                <w:szCs w:val="22"/>
              </w:rPr>
              <w:t>- Lưu: VT, TH</w:t>
            </w:r>
            <w:r>
              <w:rPr>
                <w:sz w:val="22"/>
                <w:szCs w:val="22"/>
                <w:vertAlign w:val="subscript"/>
              </w:rPr>
              <w:t>1</w:t>
            </w:r>
            <w:r w:rsidRPr="00E001D6">
              <w:rPr>
                <w:sz w:val="22"/>
                <w:szCs w:val="22"/>
              </w:rPr>
              <w:t xml:space="preserve">.                                                              </w:t>
            </w:r>
          </w:p>
        </w:tc>
        <w:tc>
          <w:tcPr>
            <w:tcW w:w="4644" w:type="dxa"/>
            <w:shd w:val="clear" w:color="auto" w:fill="auto"/>
          </w:tcPr>
          <w:p w:rsidR="008D3170" w:rsidRPr="00084B65" w:rsidRDefault="008D3170" w:rsidP="002C72BF">
            <w:pPr>
              <w:jc w:val="center"/>
              <w:rPr>
                <w:szCs w:val="28"/>
              </w:rPr>
            </w:pPr>
            <w:r w:rsidRPr="00084B65">
              <w:rPr>
                <w:b/>
                <w:bCs/>
                <w:szCs w:val="28"/>
              </w:rPr>
              <w:t>TM. BAN PHÁP CHẾ HĐND</w:t>
            </w:r>
            <w:r w:rsidRPr="00084B65">
              <w:rPr>
                <w:szCs w:val="28"/>
              </w:rPr>
              <w:t xml:space="preserve">                                                         </w:t>
            </w:r>
            <w:r w:rsidRPr="00084B65">
              <w:rPr>
                <w:b/>
                <w:bCs/>
                <w:szCs w:val="28"/>
              </w:rPr>
              <w:t>TRƯỞNG BAN</w:t>
            </w:r>
          </w:p>
          <w:p w:rsidR="008D3170" w:rsidRPr="00084B65" w:rsidRDefault="008D3170" w:rsidP="002C72BF">
            <w:pPr>
              <w:pStyle w:val="Footer"/>
              <w:tabs>
                <w:tab w:val="clear" w:pos="4320"/>
                <w:tab w:val="clear" w:pos="8640"/>
              </w:tabs>
              <w:jc w:val="center"/>
              <w:rPr>
                <w:szCs w:val="28"/>
              </w:rPr>
            </w:pPr>
          </w:p>
          <w:p w:rsidR="008D3170" w:rsidRPr="00084B65" w:rsidRDefault="008D3170" w:rsidP="002C72BF">
            <w:pPr>
              <w:pStyle w:val="Footer"/>
              <w:tabs>
                <w:tab w:val="clear" w:pos="4320"/>
                <w:tab w:val="clear" w:pos="8640"/>
              </w:tabs>
              <w:jc w:val="center"/>
              <w:rPr>
                <w:szCs w:val="28"/>
              </w:rPr>
            </w:pPr>
          </w:p>
          <w:p w:rsidR="008D3170" w:rsidRPr="00084B65" w:rsidRDefault="008D3170" w:rsidP="002C72BF">
            <w:pPr>
              <w:pStyle w:val="Footer"/>
              <w:tabs>
                <w:tab w:val="clear" w:pos="4320"/>
                <w:tab w:val="clear" w:pos="8640"/>
              </w:tabs>
              <w:jc w:val="center"/>
              <w:rPr>
                <w:szCs w:val="28"/>
              </w:rPr>
            </w:pPr>
          </w:p>
          <w:p w:rsidR="008D3170" w:rsidRPr="00084B65" w:rsidRDefault="008D3170" w:rsidP="002C72BF">
            <w:pPr>
              <w:pStyle w:val="Footer"/>
              <w:tabs>
                <w:tab w:val="clear" w:pos="4320"/>
                <w:tab w:val="clear" w:pos="8640"/>
              </w:tabs>
              <w:jc w:val="center"/>
              <w:rPr>
                <w:szCs w:val="28"/>
              </w:rPr>
            </w:pPr>
          </w:p>
          <w:p w:rsidR="008D3170" w:rsidRPr="00084B65" w:rsidRDefault="008D3170" w:rsidP="002C72BF">
            <w:pPr>
              <w:pStyle w:val="Footer"/>
              <w:tabs>
                <w:tab w:val="clear" w:pos="4320"/>
                <w:tab w:val="clear" w:pos="8640"/>
              </w:tabs>
              <w:rPr>
                <w:szCs w:val="28"/>
              </w:rPr>
            </w:pPr>
          </w:p>
          <w:p w:rsidR="008D3170" w:rsidRPr="0048779D" w:rsidRDefault="008D3170" w:rsidP="002C72BF">
            <w:pPr>
              <w:pStyle w:val="Footer"/>
              <w:tabs>
                <w:tab w:val="clear" w:pos="4320"/>
                <w:tab w:val="clear" w:pos="8640"/>
              </w:tabs>
              <w:jc w:val="center"/>
              <w:rPr>
                <w:szCs w:val="28"/>
              </w:rPr>
            </w:pPr>
            <w:r w:rsidRPr="00084B65">
              <w:rPr>
                <w:b/>
                <w:szCs w:val="28"/>
              </w:rPr>
              <w:t>Nguyễn Thị Nhuần</w:t>
            </w:r>
          </w:p>
        </w:tc>
      </w:tr>
    </w:tbl>
    <w:p w:rsidR="00D20EEA" w:rsidRPr="00CA5442" w:rsidRDefault="00D20EEA" w:rsidP="00D20EEA">
      <w:pPr>
        <w:spacing w:before="120" w:after="120"/>
      </w:pPr>
    </w:p>
    <w:sectPr w:rsidR="00D20EEA" w:rsidRPr="00CA5442" w:rsidSect="00D238D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FE" w:rsidRDefault="006A23FE" w:rsidP="00516900">
      <w:r>
        <w:separator/>
      </w:r>
    </w:p>
  </w:endnote>
  <w:endnote w:type="continuationSeparator" w:id="0">
    <w:p w:rsidR="006A23FE" w:rsidRDefault="006A23FE" w:rsidP="0051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FE" w:rsidRDefault="006A23FE" w:rsidP="00516900">
      <w:r>
        <w:separator/>
      </w:r>
    </w:p>
  </w:footnote>
  <w:footnote w:type="continuationSeparator" w:id="0">
    <w:p w:rsidR="006A23FE" w:rsidRDefault="006A23FE" w:rsidP="00516900">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
    <w15:presenceInfo w15:providerId="None" w15:userId="P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42"/>
    <w:rsid w:val="00016E73"/>
    <w:rsid w:val="000432DD"/>
    <w:rsid w:val="001A6C96"/>
    <w:rsid w:val="00262344"/>
    <w:rsid w:val="00273499"/>
    <w:rsid w:val="002E1A41"/>
    <w:rsid w:val="0043001E"/>
    <w:rsid w:val="004310A1"/>
    <w:rsid w:val="00463DB3"/>
    <w:rsid w:val="004929E2"/>
    <w:rsid w:val="004B5A0C"/>
    <w:rsid w:val="00511EDA"/>
    <w:rsid w:val="00516900"/>
    <w:rsid w:val="00587219"/>
    <w:rsid w:val="00597451"/>
    <w:rsid w:val="006540DF"/>
    <w:rsid w:val="0065444D"/>
    <w:rsid w:val="006A23FE"/>
    <w:rsid w:val="006B5749"/>
    <w:rsid w:val="00701203"/>
    <w:rsid w:val="00780D1D"/>
    <w:rsid w:val="008D3170"/>
    <w:rsid w:val="00A601DE"/>
    <w:rsid w:val="00A70B82"/>
    <w:rsid w:val="00B84EA4"/>
    <w:rsid w:val="00BD4D9A"/>
    <w:rsid w:val="00BE7739"/>
    <w:rsid w:val="00CA5442"/>
    <w:rsid w:val="00CC002E"/>
    <w:rsid w:val="00D20EEA"/>
    <w:rsid w:val="00D238D0"/>
    <w:rsid w:val="00E42581"/>
    <w:rsid w:val="00F94570"/>
    <w:rsid w:val="00FB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442"/>
    <w:pPr>
      <w:autoSpaceDE w:val="0"/>
      <w:autoSpaceDN w:val="0"/>
      <w:adjustRightInd w:val="0"/>
      <w:jc w:val="left"/>
    </w:pPr>
    <w:rPr>
      <w:color w:val="000000"/>
      <w:sz w:val="24"/>
    </w:rPr>
  </w:style>
  <w:style w:type="paragraph" w:customStyle="1" w:styleId="Style4">
    <w:name w:val="Style4"/>
    <w:basedOn w:val="Normal"/>
    <w:rsid w:val="00BE7739"/>
    <w:pPr>
      <w:ind w:left="-67" w:firstLine="469"/>
    </w:pPr>
    <w:rPr>
      <w:rFonts w:eastAsia="Times New Roman"/>
      <w:szCs w:val="28"/>
    </w:rPr>
  </w:style>
  <w:style w:type="paragraph" w:styleId="NormalWeb">
    <w:name w:val="Normal (Web)"/>
    <w:aliases w:val="Normal (Web) Char"/>
    <w:basedOn w:val="Normal"/>
    <w:rsid w:val="00511EDA"/>
    <w:pPr>
      <w:spacing w:before="100" w:beforeAutospacing="1" w:after="100" w:afterAutospacing="1"/>
      <w:jc w:val="left"/>
    </w:pPr>
    <w:rPr>
      <w:rFonts w:eastAsia="Times New Roman"/>
      <w:sz w:val="24"/>
    </w:rPr>
  </w:style>
  <w:style w:type="paragraph" w:styleId="Footer">
    <w:name w:val="footer"/>
    <w:basedOn w:val="Normal"/>
    <w:link w:val="FooterChar"/>
    <w:rsid w:val="008D3170"/>
    <w:pPr>
      <w:tabs>
        <w:tab w:val="center" w:pos="4320"/>
        <w:tab w:val="right" w:pos="8640"/>
      </w:tabs>
      <w:jc w:val="left"/>
    </w:pPr>
    <w:rPr>
      <w:kern w:val="28"/>
      <w:szCs w:val="20"/>
    </w:rPr>
  </w:style>
  <w:style w:type="character" w:customStyle="1" w:styleId="FooterChar">
    <w:name w:val="Footer Char"/>
    <w:basedOn w:val="DefaultParagraphFont"/>
    <w:link w:val="Footer"/>
    <w:rsid w:val="008D3170"/>
    <w:rPr>
      <w:kern w:val="28"/>
      <w:szCs w:val="20"/>
    </w:rPr>
  </w:style>
  <w:style w:type="paragraph" w:styleId="BalloonText">
    <w:name w:val="Balloon Text"/>
    <w:basedOn w:val="Normal"/>
    <w:link w:val="BalloonTextChar"/>
    <w:uiPriority w:val="99"/>
    <w:semiHidden/>
    <w:unhideWhenUsed/>
    <w:rsid w:val="000432DD"/>
    <w:rPr>
      <w:rFonts w:ascii="Tahoma" w:hAnsi="Tahoma" w:cs="Tahoma"/>
      <w:sz w:val="16"/>
      <w:szCs w:val="16"/>
    </w:rPr>
  </w:style>
  <w:style w:type="character" w:customStyle="1" w:styleId="BalloonTextChar">
    <w:name w:val="Balloon Text Char"/>
    <w:basedOn w:val="DefaultParagraphFont"/>
    <w:link w:val="BalloonText"/>
    <w:uiPriority w:val="99"/>
    <w:semiHidden/>
    <w:rsid w:val="000432DD"/>
    <w:rPr>
      <w:rFonts w:ascii="Tahoma" w:hAnsi="Tahoma" w:cs="Tahoma"/>
      <w:sz w:val="16"/>
      <w:szCs w:val="16"/>
    </w:rPr>
  </w:style>
  <w:style w:type="paragraph" w:styleId="Header">
    <w:name w:val="header"/>
    <w:basedOn w:val="Normal"/>
    <w:link w:val="HeaderChar"/>
    <w:uiPriority w:val="99"/>
    <w:unhideWhenUsed/>
    <w:rsid w:val="00516900"/>
    <w:pPr>
      <w:tabs>
        <w:tab w:val="center" w:pos="4680"/>
        <w:tab w:val="right" w:pos="9360"/>
      </w:tabs>
    </w:pPr>
  </w:style>
  <w:style w:type="character" w:customStyle="1" w:styleId="HeaderChar">
    <w:name w:val="Header Char"/>
    <w:basedOn w:val="DefaultParagraphFont"/>
    <w:link w:val="Header"/>
    <w:uiPriority w:val="99"/>
    <w:rsid w:val="00516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442"/>
    <w:pPr>
      <w:autoSpaceDE w:val="0"/>
      <w:autoSpaceDN w:val="0"/>
      <w:adjustRightInd w:val="0"/>
      <w:jc w:val="left"/>
    </w:pPr>
    <w:rPr>
      <w:color w:val="000000"/>
      <w:sz w:val="24"/>
    </w:rPr>
  </w:style>
  <w:style w:type="paragraph" w:customStyle="1" w:styleId="Style4">
    <w:name w:val="Style4"/>
    <w:basedOn w:val="Normal"/>
    <w:rsid w:val="00BE7739"/>
    <w:pPr>
      <w:ind w:left="-67" w:firstLine="469"/>
    </w:pPr>
    <w:rPr>
      <w:rFonts w:eastAsia="Times New Roman"/>
      <w:szCs w:val="28"/>
    </w:rPr>
  </w:style>
  <w:style w:type="paragraph" w:styleId="NormalWeb">
    <w:name w:val="Normal (Web)"/>
    <w:aliases w:val="Normal (Web) Char"/>
    <w:basedOn w:val="Normal"/>
    <w:rsid w:val="00511EDA"/>
    <w:pPr>
      <w:spacing w:before="100" w:beforeAutospacing="1" w:after="100" w:afterAutospacing="1"/>
      <w:jc w:val="left"/>
    </w:pPr>
    <w:rPr>
      <w:rFonts w:eastAsia="Times New Roman"/>
      <w:sz w:val="24"/>
    </w:rPr>
  </w:style>
  <w:style w:type="paragraph" w:styleId="Footer">
    <w:name w:val="footer"/>
    <w:basedOn w:val="Normal"/>
    <w:link w:val="FooterChar"/>
    <w:rsid w:val="008D3170"/>
    <w:pPr>
      <w:tabs>
        <w:tab w:val="center" w:pos="4320"/>
        <w:tab w:val="right" w:pos="8640"/>
      </w:tabs>
      <w:jc w:val="left"/>
    </w:pPr>
    <w:rPr>
      <w:kern w:val="28"/>
      <w:szCs w:val="20"/>
    </w:rPr>
  </w:style>
  <w:style w:type="character" w:customStyle="1" w:styleId="FooterChar">
    <w:name w:val="Footer Char"/>
    <w:basedOn w:val="DefaultParagraphFont"/>
    <w:link w:val="Footer"/>
    <w:rsid w:val="008D3170"/>
    <w:rPr>
      <w:kern w:val="28"/>
      <w:szCs w:val="20"/>
    </w:rPr>
  </w:style>
  <w:style w:type="paragraph" w:styleId="BalloonText">
    <w:name w:val="Balloon Text"/>
    <w:basedOn w:val="Normal"/>
    <w:link w:val="BalloonTextChar"/>
    <w:uiPriority w:val="99"/>
    <w:semiHidden/>
    <w:unhideWhenUsed/>
    <w:rsid w:val="000432DD"/>
    <w:rPr>
      <w:rFonts w:ascii="Tahoma" w:hAnsi="Tahoma" w:cs="Tahoma"/>
      <w:sz w:val="16"/>
      <w:szCs w:val="16"/>
    </w:rPr>
  </w:style>
  <w:style w:type="character" w:customStyle="1" w:styleId="BalloonTextChar">
    <w:name w:val="Balloon Text Char"/>
    <w:basedOn w:val="DefaultParagraphFont"/>
    <w:link w:val="BalloonText"/>
    <w:uiPriority w:val="99"/>
    <w:semiHidden/>
    <w:rsid w:val="000432DD"/>
    <w:rPr>
      <w:rFonts w:ascii="Tahoma" w:hAnsi="Tahoma" w:cs="Tahoma"/>
      <w:sz w:val="16"/>
      <w:szCs w:val="16"/>
    </w:rPr>
  </w:style>
  <w:style w:type="paragraph" w:styleId="Header">
    <w:name w:val="header"/>
    <w:basedOn w:val="Normal"/>
    <w:link w:val="HeaderChar"/>
    <w:uiPriority w:val="99"/>
    <w:unhideWhenUsed/>
    <w:rsid w:val="00516900"/>
    <w:pPr>
      <w:tabs>
        <w:tab w:val="center" w:pos="4680"/>
        <w:tab w:val="right" w:pos="9360"/>
      </w:tabs>
    </w:pPr>
  </w:style>
  <w:style w:type="character" w:customStyle="1" w:styleId="HeaderChar">
    <w:name w:val="Header Char"/>
    <w:basedOn w:val="DefaultParagraphFont"/>
    <w:link w:val="Header"/>
    <w:uiPriority w:val="99"/>
    <w:rsid w:val="0051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98510">
      <w:bodyDiv w:val="1"/>
      <w:marLeft w:val="0"/>
      <w:marRight w:val="0"/>
      <w:marTop w:val="0"/>
      <w:marBottom w:val="0"/>
      <w:divBdr>
        <w:top w:val="none" w:sz="0" w:space="0" w:color="auto"/>
        <w:left w:val="none" w:sz="0" w:space="0" w:color="auto"/>
        <w:bottom w:val="none" w:sz="0" w:space="0" w:color="auto"/>
        <w:right w:val="none" w:sz="0" w:space="0" w:color="auto"/>
      </w:divBdr>
    </w:div>
    <w:div w:id="813840168">
      <w:bodyDiv w:val="1"/>
      <w:marLeft w:val="0"/>
      <w:marRight w:val="0"/>
      <w:marTop w:val="0"/>
      <w:marBottom w:val="0"/>
      <w:divBdr>
        <w:top w:val="none" w:sz="0" w:space="0" w:color="auto"/>
        <w:left w:val="none" w:sz="0" w:space="0" w:color="auto"/>
        <w:bottom w:val="none" w:sz="0" w:space="0" w:color="auto"/>
        <w:right w:val="none" w:sz="0" w:space="0" w:color="auto"/>
      </w:divBdr>
    </w:div>
    <w:div w:id="174306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2023-07-11T00:43:00Z</dcterms:created>
  <dcterms:modified xsi:type="dcterms:W3CDTF">2023-07-12T07:04:00Z</dcterms:modified>
</cp:coreProperties>
</file>