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496"/>
        <w:gridCol w:w="145"/>
        <w:gridCol w:w="5647"/>
      </w:tblGrid>
      <w:tr w:rsidR="00003C79">
        <w:trPr>
          <w:trHeight w:val="849"/>
          <w:jc w:val="center"/>
        </w:trPr>
        <w:tc>
          <w:tcPr>
            <w:tcW w:w="1882" w:type="pct"/>
            <w:shd w:val="clear" w:color="auto" w:fill="auto"/>
          </w:tcPr>
          <w:p w:rsidR="00003C79" w:rsidRDefault="00373866">
            <w:pPr>
              <w:jc w:val="center"/>
              <w:rPr>
                <w:sz w:val="26"/>
                <w:szCs w:val="26"/>
              </w:rPr>
            </w:pPr>
            <w:r>
              <w:rPr>
                <w:b/>
                <w:sz w:val="26"/>
                <w:szCs w:val="26"/>
              </w:rPr>
              <w:t>HỘI ĐỒNG NHÂN DÂN</w:t>
            </w:r>
          </w:p>
          <w:p w:rsidR="00003C79" w:rsidRDefault="00373866">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650875</wp:posOffset>
                      </wp:positionH>
                      <wp:positionV relativeFrom="paragraph">
                        <wp:posOffset>233045</wp:posOffset>
                      </wp:positionV>
                      <wp:extent cx="800100" cy="0"/>
                      <wp:effectExtent l="6985"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35pt" to="114.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"/>
                  </w:pict>
                </mc:Fallback>
              </mc:AlternateContent>
            </w:r>
            <w:r>
              <w:rPr>
                <w:b/>
                <w:sz w:val="26"/>
                <w:szCs w:val="26"/>
              </w:rPr>
              <w:t>TỈNH HÀ TĨNH</w:t>
            </w:r>
          </w:p>
        </w:tc>
        <w:tc>
          <w:tcPr>
            <w:tcW w:w="3118" w:type="pct"/>
            <w:gridSpan w:val="2"/>
            <w:shd w:val="clear" w:color="auto" w:fill="auto"/>
          </w:tcPr>
          <w:p w:rsidR="00003C79" w:rsidRDefault="00373866">
            <w:pPr>
              <w:jc w:val="center"/>
              <w:rPr>
                <w:b/>
                <w:bCs/>
                <w:w w:val="95"/>
                <w:sz w:val="26"/>
                <w:szCs w:val="26"/>
              </w:rPr>
            </w:pPr>
            <w:r>
              <w:rPr>
                <w:b/>
                <w:bCs/>
                <w:w w:val="95"/>
                <w:sz w:val="26"/>
                <w:szCs w:val="26"/>
              </w:rPr>
              <w:t>CỘNG HÒA XÃ HỘI CHỦ NGHĨA VIỆT NAM</w:t>
            </w:r>
          </w:p>
          <w:p w:rsidR="00003C79" w:rsidRDefault="00373866">
            <w:pPr>
              <w:jc w:val="center"/>
              <w:rPr>
                <w:b/>
                <w:bCs/>
                <w:sz w:val="26"/>
                <w:szCs w:val="26"/>
              </w:rPr>
            </w:pPr>
            <w:r>
              <w:rPr>
                <w:iCs/>
                <w:noProof/>
                <w:sz w:val="26"/>
                <w:szCs w:val="26"/>
              </w:rPr>
              <mc:AlternateContent>
                <mc:Choice Requires="wps">
                  <w:drawing>
                    <wp:anchor distT="0" distB="0" distL="114300" distR="114300" simplePos="0" relativeHeight="251661312" behindDoc="0" locked="0" layoutInCell="1" allowOverlap="1">
                      <wp:simplePos x="0" y="0"/>
                      <wp:positionH relativeFrom="column">
                        <wp:posOffset>869315</wp:posOffset>
                      </wp:positionH>
                      <wp:positionV relativeFrom="paragraph">
                        <wp:posOffset>245110</wp:posOffset>
                      </wp:positionV>
                      <wp:extent cx="1800225" cy="0"/>
                      <wp:effectExtent l="7620"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9.3pt" to="210.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97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"/>
                  </w:pict>
                </mc:Fallback>
              </mc:AlternateContent>
            </w:r>
            <w:r>
              <w:rPr>
                <w:b/>
                <w:bCs/>
                <w:sz w:val="26"/>
                <w:szCs w:val="26"/>
              </w:rPr>
              <w:t>Độc lập - Tự do - Hạnh phúc</w:t>
            </w:r>
          </w:p>
        </w:tc>
      </w:tr>
      <w:tr w:rsidR="00003C79">
        <w:trPr>
          <w:trHeight w:val="251"/>
          <w:jc w:val="center"/>
        </w:trPr>
        <w:tc>
          <w:tcPr>
            <w:tcW w:w="1960" w:type="pct"/>
            <w:gridSpan w:val="2"/>
            <w:shd w:val="clear" w:color="auto" w:fill="auto"/>
          </w:tcPr>
          <w:p w:rsidR="00003C79" w:rsidRDefault="00373866" w:rsidP="00286171">
            <w:pPr>
              <w:jc w:val="center"/>
              <w:rPr>
                <w:b/>
                <w:bCs/>
                <w:w w:val="90"/>
                <w:sz w:val="26"/>
                <w:szCs w:val="26"/>
              </w:rPr>
            </w:pPr>
            <w:r>
              <w:rPr>
                <w:sz w:val="26"/>
                <w:szCs w:val="26"/>
              </w:rPr>
              <w:t>Số</w:t>
            </w:r>
            <w:r w:rsidR="00286171">
              <w:rPr>
                <w:sz w:val="26"/>
                <w:szCs w:val="26"/>
              </w:rPr>
              <w:t xml:space="preserve">: </w:t>
            </w:r>
            <w:r w:rsidR="00286171">
              <w:rPr>
                <w:sz w:val="26"/>
                <w:szCs w:val="26"/>
              </w:rPr>
              <w:t>347</w:t>
            </w:r>
            <w:r>
              <w:rPr>
                <w:sz w:val="26"/>
                <w:szCs w:val="26"/>
              </w:rPr>
              <w:t>/BC-HĐND</w:t>
            </w:r>
          </w:p>
        </w:tc>
        <w:tc>
          <w:tcPr>
            <w:tcW w:w="3040" w:type="pct"/>
            <w:shd w:val="clear" w:color="auto" w:fill="auto"/>
          </w:tcPr>
          <w:p w:rsidR="00003C79" w:rsidRDefault="00373866" w:rsidP="00286171">
            <w:pPr>
              <w:jc w:val="center"/>
              <w:rPr>
                <w:b/>
                <w:bCs/>
                <w:w w:val="90"/>
                <w:sz w:val="26"/>
                <w:szCs w:val="26"/>
              </w:rPr>
            </w:pPr>
            <w:r>
              <w:rPr>
                <w:i/>
                <w:sz w:val="26"/>
                <w:szCs w:val="26"/>
              </w:rPr>
              <w:t xml:space="preserve">Hà Tĩnh, </w:t>
            </w:r>
            <w:r w:rsidR="00286171">
              <w:rPr>
                <w:i/>
                <w:sz w:val="26"/>
                <w:szCs w:val="26"/>
              </w:rPr>
              <w:t xml:space="preserve">ngày </w:t>
            </w:r>
            <w:r w:rsidR="00286171">
              <w:rPr>
                <w:i/>
                <w:sz w:val="26"/>
                <w:szCs w:val="26"/>
              </w:rPr>
              <w:t>11</w:t>
            </w:r>
            <w:r w:rsidR="00286171">
              <w:rPr>
                <w:i/>
                <w:sz w:val="26"/>
                <w:szCs w:val="26"/>
              </w:rPr>
              <w:t xml:space="preserve"> </w:t>
            </w:r>
            <w:r>
              <w:rPr>
                <w:i/>
                <w:sz w:val="26"/>
                <w:szCs w:val="26"/>
              </w:rPr>
              <w:t>tháng 7 năm 2023</w:t>
            </w:r>
          </w:p>
        </w:tc>
      </w:tr>
    </w:tbl>
    <w:p w:rsidR="00003C79" w:rsidRDefault="00003C79">
      <w:pPr>
        <w:jc w:val="center"/>
        <w:rPr>
          <w:b/>
          <w:sz w:val="32"/>
        </w:rPr>
      </w:pPr>
    </w:p>
    <w:p w:rsidR="00003C79" w:rsidRDefault="00373866">
      <w:pPr>
        <w:jc w:val="center"/>
        <w:rPr>
          <w:b/>
        </w:rPr>
      </w:pPr>
      <w:r>
        <w:rPr>
          <w:b/>
        </w:rPr>
        <w:t>BÁO CÁO</w:t>
      </w:r>
    </w:p>
    <w:p w:rsidR="00003C79" w:rsidRDefault="00373866">
      <w:pPr>
        <w:jc w:val="center"/>
        <w:rPr>
          <w:b/>
        </w:rPr>
      </w:pPr>
      <w:r>
        <w:rPr>
          <w:b/>
          <w:iCs/>
          <w:spacing w:val="-6"/>
        </w:rPr>
        <w:t>Thẩm tra Tờ trình và Dự thảo Nghị quyết</w:t>
      </w:r>
      <w:r>
        <w:rPr>
          <w:b/>
        </w:rPr>
        <w:t xml:space="preserve"> sửa đổi, bổ sung một số điều của Nghị quyết số 87/2018/NQ-HĐND ngày 18/7/2018 của HĐND tỉnh </w:t>
      </w:r>
    </w:p>
    <w:p w:rsidR="00003C79" w:rsidRDefault="00373866">
      <w:pPr>
        <w:jc w:val="center"/>
        <w:rPr>
          <w:b/>
        </w:rPr>
      </w:pPr>
      <w:r>
        <w:rPr>
          <w:b/>
        </w:rPr>
        <w:t xml:space="preserve">quy định một số chính sách hỗ trợ thành lập mới hộ kinh doanh </w:t>
      </w:r>
    </w:p>
    <w:p w:rsidR="00003C79" w:rsidRDefault="00373866">
      <w:pPr>
        <w:jc w:val="center"/>
        <w:rPr>
          <w:b/>
          <w:sz w:val="34"/>
        </w:rPr>
      </w:pPr>
      <w:r>
        <w:rPr>
          <w:b/>
        </w:rPr>
        <w:t>và doanh nghiệp trên địa bàn tỉnh</w:t>
      </w:r>
    </w:p>
    <w:p w:rsidR="00003C79" w:rsidRDefault="00373866">
      <w:pPr>
        <w:spacing w:before="40" w:after="60" w:line="340" w:lineRule="exact"/>
        <w:ind w:firstLine="720"/>
        <w:jc w:val="both"/>
      </w:pPr>
      <w:r>
        <w:rPr>
          <w:b/>
          <w:i/>
          <w:iCs/>
          <w:noProof/>
          <w:sz w:val="34"/>
        </w:rPr>
        <mc:AlternateContent>
          <mc:Choice Requires="wps">
            <w:drawing>
              <wp:anchor distT="0" distB="0" distL="114300" distR="114300" simplePos="0" relativeHeight="251659264" behindDoc="0" locked="0" layoutInCell="1" allowOverlap="1" wp14:anchorId="0A01587D" wp14:editId="70AC629D">
                <wp:simplePos x="0" y="0"/>
                <wp:positionH relativeFrom="column">
                  <wp:posOffset>2200638</wp:posOffset>
                </wp:positionH>
                <wp:positionV relativeFrom="paragraph">
                  <wp:posOffset>53340</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3pt,4.2pt" to="299.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"/>
            </w:pict>
          </mc:Fallback>
        </mc:AlternateContent>
      </w:r>
    </w:p>
    <w:p w:rsidR="00003C79" w:rsidRDefault="00373866">
      <w:pPr>
        <w:spacing w:after="120" w:line="340" w:lineRule="atLeast"/>
        <w:ind w:firstLine="851"/>
        <w:jc w:val="both"/>
      </w:pPr>
      <w:r>
        <w:t xml:space="preserve">Ban Kinh tế - Ngân sách báo cáo Hội đồng nhân dân tỉnh kết </w:t>
      </w:r>
      <w:r>
        <w:t xml:space="preserve">quả thẩm tra Tờ trình số 235/TTr-UBND ngày 23/6/2023 của Ủy ban nhân dân tỉnh và Dự thảo Nghị quyết sửa đổi, bổ sung một số điều của Nghị quyết số 87/2018/NQ-HĐND ngày 18/7/2018 của Hội đồng nhân dân tỉnh quy định một số chính sách hỗ trợ thành lập mới </w:t>
      </w:r>
      <w:r>
        <w:t>hộ kinh doanh và doanh nghiệp trên địa bàn tỉnh như sau:</w:t>
      </w:r>
    </w:p>
    <w:p w:rsidR="00003C79" w:rsidRDefault="00373866">
      <w:pPr>
        <w:spacing w:after="120" w:line="340" w:lineRule="atLeast"/>
        <w:ind w:firstLine="720"/>
        <w:jc w:val="both"/>
        <w:rPr>
          <w:b/>
        </w:rPr>
      </w:pPr>
      <w:r>
        <w:rPr>
          <w:b/>
        </w:rPr>
        <w:t>1. Căn cứ pháp lý, sự cần thiết và thẩm quyền ban hành</w:t>
      </w:r>
    </w:p>
    <w:p w:rsidR="00003C79" w:rsidRDefault="00373866">
      <w:pPr>
        <w:spacing w:after="120" w:line="340" w:lineRule="atLeast"/>
        <w:ind w:firstLine="720"/>
        <w:jc w:val="both"/>
      </w:pPr>
      <w:r>
        <w:t>Hội đồng nhân dân tỉnh đã ban hành Nghị quyết số 87/2018/NQ-HĐND ngày 18/7/2018 quy định một số chính sách hỗ trợ thành lập mới hộ kinh doanh v</w:t>
      </w:r>
      <w:r>
        <w:t xml:space="preserve">à doanh nghiệp trên địa bàn tỉnh; Nghị quyết số 216/2020/NQ-HĐND ngày 10/7/2020 sửa đổi, bổ sung một số nội dung tại Nghị quyết số 87/2018/NQ-HĐND. Tuy vậy, hiện nay một số quy định pháp luật liên quan đến nội dung Nghị quyết đã hết hiệu lực và được </w:t>
      </w:r>
      <w:r>
        <w:t>ban hành các quy định mới thay thế</w:t>
      </w:r>
      <w:r>
        <w:rPr>
          <w:rStyle w:val="FootnoteReference"/>
          <w:lang w:val="pt-BR"/>
        </w:rPr>
        <w:footnoteReference w:id="1"/>
      </w:r>
      <w:r>
        <w:t>; một số chính sách của Nghị quyết trong quá trình triển khai thực hiện không còn phù hợp với thực tiễn hoạt động doanh nghiệp. Do đó, việc sửa đổi, bổ sung một số nội dung của Nghị quyết số 87/2018/NQ-HĐND tỉnh là</w:t>
      </w:r>
      <w:r>
        <w:t xml:space="preserve"> cần thiết.</w:t>
      </w:r>
    </w:p>
    <w:p w:rsidR="00003C79" w:rsidRDefault="00373866">
      <w:pPr>
        <w:spacing w:after="120" w:line="340" w:lineRule="atLeast"/>
        <w:ind w:firstLine="720"/>
        <w:jc w:val="both"/>
      </w:pPr>
      <w:r>
        <w:rPr>
          <w:lang w:val="pt-BR"/>
        </w:rPr>
        <w:t>Căn cứ quy định tại khoản 3, Điều 1</w:t>
      </w:r>
      <w:r>
        <w:rPr>
          <w:rStyle w:val="FootnoteReference"/>
          <w:lang w:val="pt-BR"/>
        </w:rPr>
        <w:footnoteReference w:id="2"/>
      </w:r>
      <w:r>
        <w:rPr>
          <w:lang w:val="pt-BR"/>
        </w:rPr>
        <w:t xml:space="preserve"> Luật sửa đổi, bổ sung một số điều của Luật Ban hành văn bản quy phạm pháp luật, việc Ủy ban nhân dân tỉnh trình Hội đồng nhân dân tỉnh ban hành </w:t>
      </w:r>
      <w:r>
        <w:t>Nghị quyết sửa đổi, bổ sung một số điều của Nghị quyết số 87/2</w:t>
      </w:r>
      <w:r>
        <w:t xml:space="preserve">018/NQ-HĐND ngày 18/7/2018 của HĐND tỉnh quy định một số chính sách hỗ trợ thành lập mới hộ kinh doanh và doanh nghiệp trên địa bàn tỉnh là </w:t>
      </w:r>
      <w:r>
        <w:rPr>
          <w:lang w:val="pt-BR"/>
        </w:rPr>
        <w:t>đúng thẩm quyền.</w:t>
      </w:r>
      <w:r>
        <w:rPr>
          <w:lang w:val="vi-VN"/>
        </w:rPr>
        <w:t xml:space="preserve"> </w:t>
      </w:r>
    </w:p>
    <w:p w:rsidR="00003C79" w:rsidRDefault="00373866">
      <w:pPr>
        <w:spacing w:after="120" w:line="340" w:lineRule="atLeast"/>
        <w:ind w:firstLine="720"/>
        <w:jc w:val="both"/>
      </w:pPr>
      <w:r>
        <w:rPr>
          <w:lang w:val="vi-VN"/>
        </w:rPr>
        <w:t>Tờ trình và dự thảo Nghị quyết</w:t>
      </w:r>
      <w:r>
        <w:rPr>
          <w:lang w:val="it-IT"/>
        </w:rPr>
        <w:t xml:space="preserve"> đã </w:t>
      </w:r>
      <w:r>
        <w:rPr>
          <w:lang w:val="vi-VN"/>
        </w:rPr>
        <w:t xml:space="preserve">có đầy đủ </w:t>
      </w:r>
      <w:r>
        <w:rPr>
          <w:lang w:val="it-IT"/>
        </w:rPr>
        <w:t xml:space="preserve">hồ sơ và </w:t>
      </w:r>
      <w:r>
        <w:rPr>
          <w:lang w:val="vi-VN"/>
        </w:rPr>
        <w:t>căn cứ pháp lý liên quan</w:t>
      </w:r>
      <w:r>
        <w:rPr>
          <w:rStyle w:val="FootnoteReference"/>
        </w:rPr>
        <w:footnoteReference w:id="3"/>
      </w:r>
      <w:r>
        <w:t>; được cơ quan soạ</w:t>
      </w:r>
      <w:r>
        <w:t xml:space="preserve">n thảo tổ chức làm việc, thảo luận, tổng hợp trên cơ sở </w:t>
      </w:r>
      <w:r>
        <w:lastRenderedPageBreak/>
        <w:t xml:space="preserve">đề xuất, lấy ý kiến các ngành, địa phương liên quan và </w:t>
      </w:r>
      <w:r>
        <w:rPr>
          <w:lang w:val="vi-VN"/>
        </w:rPr>
        <w:t>đã được cơ quan t</w:t>
      </w:r>
      <w:r>
        <w:rPr>
          <w:bCs/>
          <w:lang w:val="vi-VN"/>
        </w:rPr>
        <w:t>ư pháp</w:t>
      </w:r>
      <w:r>
        <w:rPr>
          <w:bCs/>
        </w:rPr>
        <w:t xml:space="preserve"> thẩm định</w:t>
      </w:r>
      <w:r>
        <w:rPr>
          <w:rStyle w:val="FootnoteReference"/>
        </w:rPr>
        <w:footnoteReference w:id="4"/>
      </w:r>
      <w:r>
        <w:rPr>
          <w:bCs/>
          <w:lang w:val="vi-VN"/>
        </w:rPr>
        <w:t xml:space="preserve"> </w:t>
      </w:r>
      <w:r>
        <w:rPr>
          <w:iCs/>
        </w:rPr>
        <w:t>theo đúng trình tự, thủ tục ban hành văn bản quy phạm pháp luật</w:t>
      </w:r>
      <w:r>
        <w:rPr>
          <w:spacing w:val="4"/>
          <w:lang w:val="pt-BR"/>
        </w:rPr>
        <w:t>.</w:t>
      </w:r>
    </w:p>
    <w:p w:rsidR="00003C79" w:rsidRDefault="00373866">
      <w:pPr>
        <w:spacing w:after="120" w:line="340" w:lineRule="atLeast"/>
        <w:ind w:firstLine="720"/>
        <w:jc w:val="both"/>
        <w:rPr>
          <w:b/>
        </w:rPr>
      </w:pPr>
      <w:r>
        <w:rPr>
          <w:b/>
        </w:rPr>
        <w:t>2. Về nội dung Tờ trình và dự thảo Nghị quyết</w:t>
      </w:r>
    </w:p>
    <w:p w:rsidR="00003C79" w:rsidRDefault="00373866">
      <w:pPr>
        <w:spacing w:after="120" w:line="340" w:lineRule="atLeast"/>
        <w:ind w:firstLine="720"/>
        <w:jc w:val="both"/>
        <w:rPr>
          <w:spacing w:val="-2"/>
        </w:rPr>
      </w:pPr>
      <w:r>
        <w:rPr>
          <w:bCs/>
          <w:spacing w:val="-2"/>
        </w:rPr>
        <w:t xml:space="preserve">Ban Kinh tế - Ngân sách đã tổ chức làm việc và có ý kiến góp ý trực tiếp vào dự thảo; cơ quan soạn thảo đã tiếp thu đầy đủ, chỉnh sửa và hoàn thiện; vì vậy Ban cơ bản thống nhất với các nội dung của Tờ trình và Dự thảo Nghị quyết. </w:t>
      </w:r>
      <w:r>
        <w:rPr>
          <w:spacing w:val="-2"/>
        </w:rPr>
        <w:t>Ngoài ra, Ban đề nghị Ủy</w:t>
      </w:r>
      <w:r>
        <w:rPr>
          <w:spacing w:val="-2"/>
        </w:rPr>
        <w:t xml:space="preserve"> ban nhân dân tỉnh quan tâm một số nội dung sau:</w:t>
      </w:r>
    </w:p>
    <w:p w:rsidR="00003C79" w:rsidRDefault="00373866">
      <w:pPr>
        <w:spacing w:after="120" w:line="340" w:lineRule="atLeast"/>
        <w:ind w:firstLine="720"/>
        <w:jc w:val="both"/>
      </w:pPr>
      <w:r>
        <w:rPr>
          <w:lang w:val="sq-AL"/>
        </w:rPr>
        <w:t>1. Về căn cứ pháp lý, đề nghị bổ sung các Nghị định của Chính phủ: số 47/2021/NĐ-CP ngày 01/4/2021 về quy định chi tiết một số điều của Luật doanh nghiệp; số 31/2021/NĐ-CP ngày 26/3/2021 về quy định chi tiết</w:t>
      </w:r>
      <w:r>
        <w:rPr>
          <w:lang w:val="sq-AL"/>
        </w:rPr>
        <w:t xml:space="preserve"> và hướng dẫn thi hành một số điều của Luật Đầu tư.</w:t>
      </w:r>
    </w:p>
    <w:p w:rsidR="00003C79" w:rsidRDefault="00373866">
      <w:pPr>
        <w:spacing w:after="120" w:line="340" w:lineRule="atLeast"/>
        <w:ind w:firstLine="720"/>
        <w:jc w:val="both"/>
      </w:pPr>
      <w:r>
        <w:t>2. Tại</w:t>
      </w:r>
      <w:r>
        <w:rPr>
          <w:lang w:val="sq-AL"/>
        </w:rPr>
        <w:t xml:space="preserve"> Điều 4, dự thảo Nghị quyết, đề nghị bổ sung khoản 3:</w:t>
      </w:r>
      <w:r>
        <w:t xml:space="preserve"> “Trường hợp các văn bản quy phạm pháp luật được viện dẫn trong Nghị quyết này được sửa đổi, bổ sung, thay thế thì áp dụng theo văn bản quy phạm </w:t>
      </w:r>
      <w:r>
        <w:t>pháp luật mới”.</w:t>
      </w:r>
    </w:p>
    <w:p w:rsidR="00003C79" w:rsidRDefault="00373866">
      <w:pPr>
        <w:spacing w:after="120" w:line="340" w:lineRule="atLeast"/>
        <w:ind w:firstLine="720"/>
        <w:jc w:val="both"/>
        <w:rPr>
          <w:spacing w:val="-4"/>
        </w:rPr>
      </w:pPr>
      <w:r>
        <w:rPr>
          <w:spacing w:val="-4"/>
        </w:rPr>
        <w:t xml:space="preserve">3. Dự thảo Nghị quyết </w:t>
      </w:r>
      <w:r>
        <w:rPr>
          <w:spacing w:val="-4"/>
        </w:rPr>
        <w:t>đã bãi bỏ, sửa đổi, bổ sung hầu hết các nội dung quy định tại Nghị quyết số 87/2018/NQ-HĐND</w:t>
      </w:r>
      <w:r>
        <w:rPr>
          <w:spacing w:val="-4"/>
        </w:rPr>
        <w:t>;</w:t>
      </w:r>
      <w:r>
        <w:rPr>
          <w:spacing w:val="-4"/>
        </w:rPr>
        <w:t xml:space="preserve"> </w:t>
      </w:r>
      <w:r>
        <w:rPr>
          <w:color w:val="000000"/>
          <w:spacing w:val="-4"/>
          <w:shd w:val="clear" w:color="auto" w:fill="FFFFFF"/>
        </w:rPr>
        <w:t>đề nghị xem xét, nghiên cứu sớm xây dựng nghị quyết thay thế, phù hợp với q</w:t>
      </w:r>
      <w:r>
        <w:rPr>
          <w:spacing w:val="-4"/>
        </w:rPr>
        <w:t xml:space="preserve">uy định tại khoản 2 Điều 143 Nghị định số </w:t>
      </w:r>
      <w:r>
        <w:rPr>
          <w:spacing w:val="-4"/>
        </w:rPr>
        <w:t>34/2016/NĐ-CP</w:t>
      </w:r>
      <w:r>
        <w:rPr>
          <w:rStyle w:val="FootnoteReference"/>
          <w:spacing w:val="-4"/>
        </w:rPr>
        <w:footnoteReference w:id="5"/>
      </w:r>
      <w:r>
        <w:rPr>
          <w:bCs/>
          <w:spacing w:val="-4"/>
          <w:lang w:val="vi-VN"/>
        </w:rPr>
        <w:t xml:space="preserve"> </w:t>
      </w:r>
      <w:r>
        <w:rPr>
          <w:spacing w:val="-4"/>
        </w:rPr>
        <w:t xml:space="preserve">ngày 14/5/2016 của Chính phủ về quy định chi tiết một số điều và biện pháp thi hành Luật Ban hành văn bản quy phạm pháp luật. </w:t>
      </w:r>
    </w:p>
    <w:p w:rsidR="00003C79" w:rsidRDefault="00373866">
      <w:pPr>
        <w:spacing w:after="120" w:line="340" w:lineRule="atLeast"/>
        <w:ind w:firstLine="720"/>
        <w:jc w:val="both"/>
      </w:pPr>
      <w:r>
        <w:rPr>
          <w:lang w:val="sq-AL"/>
        </w:rPr>
        <w:t>Căn cứ kết quả thẩm tra nêu trên, Ban Kinh tế - Ngân sách đề nghị Hội đồng nhân dân tỉnh thống nhất thông qua</w:t>
      </w:r>
      <w:r>
        <w:rPr>
          <w:lang w:val="vi-VN"/>
        </w:rPr>
        <w:t xml:space="preserve"> </w:t>
      </w:r>
      <w:r>
        <w:t>Nghị</w:t>
      </w:r>
      <w:r>
        <w:t xml:space="preserve"> quyết sửa đổi, bổ sung một số điều của Nghị quyết số 87/2018/NQ-HĐND ngày 18/7/2018 của Hội đồng nhân dân tỉnh quy định một số chính sách hỗ trợ thành lập mới hộ kinh doanh và doanh nghiệp trên địa bàn tỉnh</w:t>
      </w:r>
      <w:r>
        <w:rPr>
          <w:lang w:val="vi-VN"/>
        </w:rPr>
        <w:t>./.</w:t>
      </w:r>
    </w:p>
    <w:p w:rsidR="00003C79" w:rsidRDefault="00003C79">
      <w:pPr>
        <w:spacing w:after="40" w:line="252" w:lineRule="auto"/>
        <w:ind w:firstLine="720"/>
        <w:jc w:val="both"/>
        <w:rPr>
          <w:sz w:val="16"/>
          <w:szCs w:val="16"/>
        </w:rPr>
      </w:pPr>
    </w:p>
    <w:tbl>
      <w:tblPr>
        <w:tblW w:w="5000" w:type="pct"/>
        <w:tblLook w:val="0000" w:firstRow="0" w:lastRow="0" w:firstColumn="0" w:lastColumn="0" w:noHBand="0" w:noVBand="0"/>
      </w:tblPr>
      <w:tblGrid>
        <w:gridCol w:w="4785"/>
        <w:gridCol w:w="4503"/>
      </w:tblGrid>
      <w:tr w:rsidR="00003C79">
        <w:trPr>
          <w:trHeight w:val="1169"/>
        </w:trPr>
        <w:tc>
          <w:tcPr>
            <w:tcW w:w="2576" w:type="pct"/>
          </w:tcPr>
          <w:p w:rsidR="00003C79" w:rsidRDefault="00373866">
            <w:pPr>
              <w:pStyle w:val="Heading1"/>
              <w:rPr>
                <w:rFonts w:ascii="Times New Roman" w:hAnsi="Times New Roman"/>
                <w:sz w:val="24"/>
                <w:lang w:val="vi-VN"/>
              </w:rPr>
            </w:pPr>
            <w:r>
              <w:rPr>
                <w:rFonts w:ascii="Times New Roman" w:hAnsi="Times New Roman"/>
                <w:i/>
                <w:iCs/>
                <w:sz w:val="24"/>
                <w:lang w:val="vi-VN"/>
              </w:rPr>
              <w:t>Nơi nhận:</w:t>
            </w:r>
          </w:p>
          <w:p w:rsidR="00003C79" w:rsidRDefault="00373866">
            <w:pPr>
              <w:pStyle w:val="Heading1"/>
              <w:rPr>
                <w:rFonts w:ascii="Times New Roman" w:hAnsi="Times New Roman"/>
                <w:b w:val="0"/>
                <w:sz w:val="22"/>
                <w:szCs w:val="22"/>
                <w:lang w:val="vi-VN"/>
              </w:rPr>
            </w:pPr>
            <w:r>
              <w:rPr>
                <w:rFonts w:ascii="Times New Roman" w:hAnsi="Times New Roman"/>
                <w:b w:val="0"/>
                <w:sz w:val="22"/>
                <w:szCs w:val="22"/>
                <w:lang w:val="vi-VN"/>
              </w:rPr>
              <w:t>- TT Tỉnh ủy, TT HĐND tỉnh;</w:t>
            </w:r>
          </w:p>
          <w:p w:rsidR="00003C79" w:rsidRDefault="00373866">
            <w:pPr>
              <w:pStyle w:val="Heading1"/>
              <w:rPr>
                <w:rFonts w:ascii="Times New Roman" w:hAnsi="Times New Roman"/>
                <w:b w:val="0"/>
                <w:sz w:val="22"/>
                <w:szCs w:val="22"/>
                <w:lang w:val="vi-VN"/>
              </w:rPr>
            </w:pPr>
            <w:r>
              <w:rPr>
                <w:rFonts w:ascii="Times New Roman" w:hAnsi="Times New Roman"/>
                <w:b w:val="0"/>
                <w:sz w:val="22"/>
                <w:szCs w:val="22"/>
                <w:lang w:val="vi-VN"/>
              </w:rPr>
              <w:t xml:space="preserve">- </w:t>
            </w:r>
            <w:r>
              <w:rPr>
                <w:rFonts w:ascii="Times New Roman" w:hAnsi="Times New Roman"/>
                <w:b w:val="0"/>
                <w:sz w:val="22"/>
                <w:szCs w:val="22"/>
                <w:lang w:val="vi-VN"/>
              </w:rPr>
              <w:t>UBND tỉnh; UBMTTQ</w:t>
            </w:r>
            <w:r>
              <w:rPr>
                <w:rFonts w:ascii="Times New Roman" w:hAnsi="Times New Roman"/>
                <w:b w:val="0"/>
                <w:sz w:val="22"/>
                <w:szCs w:val="22"/>
              </w:rPr>
              <w:t xml:space="preserve">VN </w:t>
            </w:r>
            <w:r>
              <w:rPr>
                <w:rFonts w:ascii="Times New Roman" w:hAnsi="Times New Roman"/>
                <w:b w:val="0"/>
                <w:sz w:val="22"/>
                <w:szCs w:val="22"/>
                <w:lang w:val="vi-VN"/>
              </w:rPr>
              <w:t>tỉnh;</w:t>
            </w:r>
          </w:p>
          <w:p w:rsidR="00003C79" w:rsidRDefault="00373866">
            <w:pPr>
              <w:pStyle w:val="Heading1"/>
              <w:rPr>
                <w:rFonts w:ascii="Times New Roman" w:hAnsi="Times New Roman"/>
                <w:b w:val="0"/>
                <w:sz w:val="22"/>
                <w:szCs w:val="22"/>
                <w:lang w:val="vi-VN"/>
              </w:rPr>
            </w:pPr>
            <w:r>
              <w:rPr>
                <w:rFonts w:ascii="Times New Roman" w:hAnsi="Times New Roman"/>
                <w:b w:val="0"/>
                <w:sz w:val="22"/>
                <w:szCs w:val="22"/>
                <w:lang w:val="vi-VN"/>
              </w:rPr>
              <w:t>- Các đại biểu HĐND tỉnh</w:t>
            </w:r>
            <w:r>
              <w:rPr>
                <w:rFonts w:ascii="Times New Roman" w:hAnsi="Times New Roman"/>
                <w:b w:val="0"/>
                <w:sz w:val="22"/>
                <w:szCs w:val="22"/>
              </w:rPr>
              <w:t xml:space="preserve"> khóa XVIII</w:t>
            </w:r>
            <w:r>
              <w:rPr>
                <w:rFonts w:ascii="Times New Roman" w:hAnsi="Times New Roman"/>
                <w:b w:val="0"/>
                <w:sz w:val="22"/>
                <w:szCs w:val="22"/>
                <w:lang w:val="vi-VN"/>
              </w:rPr>
              <w:t>;</w:t>
            </w:r>
          </w:p>
          <w:p w:rsidR="00003C79" w:rsidRDefault="00373866">
            <w:pPr>
              <w:pStyle w:val="Heading1"/>
              <w:rPr>
                <w:rFonts w:ascii="Times New Roman" w:hAnsi="Times New Roman"/>
                <w:b w:val="0"/>
                <w:sz w:val="22"/>
                <w:szCs w:val="22"/>
                <w:lang w:val="vi-VN"/>
              </w:rPr>
            </w:pPr>
            <w:r>
              <w:rPr>
                <w:rFonts w:ascii="Times New Roman" w:hAnsi="Times New Roman"/>
                <w:b w:val="0"/>
                <w:sz w:val="22"/>
                <w:szCs w:val="22"/>
                <w:lang w:val="vi-VN"/>
              </w:rPr>
              <w:t>- Các đại biểu tham dự kỳ họp</w:t>
            </w:r>
            <w:r>
              <w:rPr>
                <w:rFonts w:ascii="Times New Roman" w:hAnsi="Times New Roman"/>
                <w:b w:val="0"/>
                <w:sz w:val="22"/>
                <w:szCs w:val="22"/>
              </w:rPr>
              <w:t xml:space="preserve"> thứ 14</w:t>
            </w:r>
            <w:r>
              <w:rPr>
                <w:rFonts w:ascii="Times New Roman" w:hAnsi="Times New Roman"/>
                <w:b w:val="0"/>
                <w:sz w:val="22"/>
                <w:szCs w:val="22"/>
                <w:lang w:val="vi-VN"/>
              </w:rPr>
              <w:t>;</w:t>
            </w:r>
          </w:p>
          <w:p w:rsidR="00003C79" w:rsidRDefault="00373866">
            <w:pPr>
              <w:pStyle w:val="Heading1"/>
              <w:rPr>
                <w:rFonts w:ascii="Times New Roman" w:hAnsi="Times New Roman"/>
                <w:b w:val="0"/>
                <w:sz w:val="22"/>
                <w:szCs w:val="22"/>
                <w:lang w:val="vi-VN"/>
              </w:rPr>
            </w:pPr>
            <w:r>
              <w:rPr>
                <w:rFonts w:ascii="Times New Roman" w:hAnsi="Times New Roman"/>
                <w:b w:val="0"/>
                <w:sz w:val="22"/>
                <w:szCs w:val="22"/>
                <w:lang w:val="vi-VN"/>
              </w:rPr>
              <w:t xml:space="preserve">- Văn phòng </w:t>
            </w:r>
            <w:r>
              <w:rPr>
                <w:rFonts w:ascii="Times New Roman" w:hAnsi="Times New Roman"/>
                <w:b w:val="0"/>
                <w:sz w:val="22"/>
                <w:szCs w:val="22"/>
              </w:rPr>
              <w:t>Đoàn ĐBQH và HĐND tỉnh</w:t>
            </w:r>
            <w:r>
              <w:rPr>
                <w:rFonts w:ascii="Times New Roman" w:hAnsi="Times New Roman"/>
                <w:b w:val="0"/>
                <w:sz w:val="22"/>
                <w:szCs w:val="22"/>
                <w:lang w:val="vi-VN"/>
              </w:rPr>
              <w:t>;</w:t>
            </w:r>
          </w:p>
          <w:p w:rsidR="00003C79" w:rsidRDefault="00373866">
            <w:pPr>
              <w:pStyle w:val="Heading1"/>
              <w:rPr>
                <w:rFonts w:ascii="Times New Roman" w:hAnsi="Times New Roman"/>
                <w:sz w:val="22"/>
                <w:szCs w:val="22"/>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5.</w:t>
            </w:r>
          </w:p>
          <w:p w:rsidR="00003C79" w:rsidRDefault="00003C79">
            <w:pPr>
              <w:rPr>
                <w:sz w:val="22"/>
                <w:szCs w:val="22"/>
                <w:lang w:val="vi-VN"/>
              </w:rPr>
            </w:pPr>
          </w:p>
        </w:tc>
        <w:tc>
          <w:tcPr>
            <w:tcW w:w="2424" w:type="pct"/>
          </w:tcPr>
          <w:p w:rsidR="00003C79" w:rsidRDefault="00373866">
            <w:pPr>
              <w:jc w:val="center"/>
              <w:rPr>
                <w:b/>
                <w:sz w:val="26"/>
                <w:szCs w:val="26"/>
                <w:lang w:val="vi-VN"/>
              </w:rPr>
            </w:pPr>
            <w:r>
              <w:rPr>
                <w:b/>
                <w:sz w:val="26"/>
                <w:szCs w:val="26"/>
                <w:lang w:val="vi-VN"/>
              </w:rPr>
              <w:t xml:space="preserve">TM. BAN KINH TẾ </w:t>
            </w:r>
            <w:r>
              <w:rPr>
                <w:b/>
                <w:sz w:val="26"/>
                <w:szCs w:val="26"/>
              </w:rPr>
              <w:t xml:space="preserve">- </w:t>
            </w:r>
            <w:r>
              <w:rPr>
                <w:b/>
                <w:sz w:val="26"/>
                <w:szCs w:val="26"/>
                <w:lang w:val="vi-VN"/>
              </w:rPr>
              <w:t>NGÂN SÁCH</w:t>
            </w:r>
          </w:p>
          <w:p w:rsidR="00003C79" w:rsidRDefault="00373866">
            <w:pPr>
              <w:jc w:val="center"/>
              <w:rPr>
                <w:b/>
                <w:sz w:val="26"/>
                <w:szCs w:val="26"/>
                <w:lang w:val="vi-VN"/>
              </w:rPr>
            </w:pPr>
            <w:r>
              <w:rPr>
                <w:b/>
                <w:sz w:val="26"/>
                <w:szCs w:val="26"/>
                <w:lang w:val="vi-VN"/>
              </w:rPr>
              <w:t>TRƯỞNG BAN</w:t>
            </w:r>
          </w:p>
          <w:p w:rsidR="00003C79" w:rsidRDefault="00003C79">
            <w:pPr>
              <w:jc w:val="center"/>
              <w:rPr>
                <w:sz w:val="26"/>
                <w:szCs w:val="26"/>
              </w:rPr>
            </w:pPr>
          </w:p>
          <w:p w:rsidR="00003C79" w:rsidRDefault="00003C79">
            <w:pPr>
              <w:jc w:val="center"/>
              <w:rPr>
                <w:b/>
                <w:sz w:val="26"/>
                <w:szCs w:val="26"/>
              </w:rPr>
            </w:pPr>
          </w:p>
          <w:p w:rsidR="00003C79" w:rsidRDefault="00003C79">
            <w:pPr>
              <w:jc w:val="center"/>
              <w:rPr>
                <w:b/>
                <w:sz w:val="26"/>
                <w:szCs w:val="26"/>
              </w:rPr>
            </w:pPr>
          </w:p>
          <w:p w:rsidR="00003C79" w:rsidRDefault="00003C79">
            <w:pPr>
              <w:jc w:val="center"/>
              <w:rPr>
                <w:i/>
                <w:sz w:val="26"/>
                <w:szCs w:val="26"/>
                <w:lang w:val="nb-NO"/>
              </w:rPr>
            </w:pPr>
          </w:p>
          <w:p w:rsidR="00003C79" w:rsidRDefault="00003C79">
            <w:pPr>
              <w:jc w:val="center"/>
              <w:rPr>
                <w:i/>
                <w:sz w:val="26"/>
                <w:szCs w:val="26"/>
                <w:lang w:val="nb-NO"/>
              </w:rPr>
            </w:pPr>
          </w:p>
          <w:p w:rsidR="00003C79" w:rsidRDefault="00003C79">
            <w:pPr>
              <w:rPr>
                <w:b/>
                <w:sz w:val="26"/>
                <w:szCs w:val="26"/>
              </w:rPr>
            </w:pPr>
          </w:p>
          <w:p w:rsidR="00003C79" w:rsidRDefault="00003C79">
            <w:pPr>
              <w:jc w:val="center"/>
              <w:rPr>
                <w:b/>
                <w:sz w:val="26"/>
                <w:szCs w:val="26"/>
                <w:lang w:val="vi-VN"/>
              </w:rPr>
            </w:pPr>
          </w:p>
          <w:p w:rsidR="00003C79" w:rsidRDefault="00373866">
            <w:pPr>
              <w:jc w:val="center"/>
              <w:rPr>
                <w:b/>
                <w:lang w:val="es-PR"/>
              </w:rPr>
            </w:pPr>
            <w:r>
              <w:rPr>
                <w:b/>
                <w:lang w:val="es-PR"/>
              </w:rPr>
              <w:t xml:space="preserve">    Nguyễn Thị Thuý Nga</w:t>
            </w:r>
          </w:p>
        </w:tc>
      </w:tr>
    </w:tbl>
    <w:p w:rsidR="00003C79" w:rsidRDefault="00003C79" w:rsidP="00286171"/>
    <w:sectPr w:rsidR="00003C79">
      <w:headerReference w:type="default" r:id="rId8"/>
      <w:footerReference w:type="even" r:id="rId9"/>
      <w:headerReference w:type="first" r:id="rId10"/>
      <w:pgSz w:w="11909" w:h="16834" w:code="9"/>
      <w:pgMar w:top="1134" w:right="1136"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66" w:rsidRDefault="00373866">
      <w:r>
        <w:separator/>
      </w:r>
    </w:p>
  </w:endnote>
  <w:endnote w:type="continuationSeparator" w:id="0">
    <w:p w:rsidR="00373866" w:rsidRDefault="0037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79" w:rsidRDefault="00373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3C79" w:rsidRDefault="00003C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66" w:rsidRDefault="00373866">
      <w:r>
        <w:separator/>
      </w:r>
    </w:p>
  </w:footnote>
  <w:footnote w:type="continuationSeparator" w:id="0">
    <w:p w:rsidR="00373866" w:rsidRDefault="00373866">
      <w:r>
        <w:continuationSeparator/>
      </w:r>
    </w:p>
  </w:footnote>
  <w:footnote w:id="1">
    <w:p w:rsidR="00003C79" w:rsidRDefault="00373866" w:rsidP="00286171">
      <w:pPr>
        <w:ind w:firstLine="720"/>
        <w:jc w:val="both"/>
        <w:rPr>
          <w:sz w:val="20"/>
          <w:szCs w:val="20"/>
        </w:rPr>
      </w:pPr>
      <w:bookmarkStart w:id="0" w:name="_GoBack"/>
      <w:r>
        <w:rPr>
          <w:rStyle w:val="FootnoteReference"/>
          <w:sz w:val="20"/>
          <w:szCs w:val="20"/>
        </w:rPr>
        <w:footnoteRef/>
      </w:r>
      <w:r>
        <w:rPr>
          <w:sz w:val="20"/>
          <w:szCs w:val="20"/>
        </w:rPr>
        <w:t xml:space="preserve"> </w:t>
      </w:r>
      <w:r>
        <w:rPr>
          <w:color w:val="000000"/>
          <w:sz w:val="20"/>
          <w:szCs w:val="20"/>
          <w:shd w:val="clear" w:color="auto" w:fill="FFFFFF"/>
        </w:rPr>
        <w:t xml:space="preserve">Nghị định số 31/2021/NĐ-CP ngày 26/3/2021 thay thế Nghị định số 118/2015/NĐ-CP ngày 12/11/2015 của Chính phủ; Nghị định số 80/2021/NĐ-CP </w:t>
      </w:r>
      <w:r>
        <w:rPr>
          <w:color w:val="000000"/>
          <w:sz w:val="20"/>
          <w:szCs w:val="20"/>
          <w:shd w:val="clear" w:color="auto" w:fill="FFFFFF"/>
        </w:rPr>
        <w:t>ngày 26/8/2021 thay thế Nghị định số 39/2018/NĐ-CP của Chính phủ</w:t>
      </w:r>
    </w:p>
  </w:footnote>
  <w:footnote w:id="2">
    <w:p w:rsidR="00003C79" w:rsidRDefault="00373866" w:rsidP="00286171">
      <w:pPr>
        <w:ind w:firstLine="720"/>
        <w:jc w:val="both"/>
        <w:rPr>
          <w:sz w:val="20"/>
          <w:szCs w:val="20"/>
        </w:rPr>
      </w:pPr>
      <w:r>
        <w:rPr>
          <w:rStyle w:val="FootnoteReference"/>
          <w:sz w:val="20"/>
          <w:szCs w:val="20"/>
        </w:rPr>
        <w:footnoteRef/>
      </w:r>
      <w:r>
        <w:rPr>
          <w:sz w:val="20"/>
          <w:szCs w:val="20"/>
        </w:rPr>
        <w:t xml:space="preserve"> </w:t>
      </w:r>
      <w:r>
        <w:rPr>
          <w:color w:val="000000"/>
          <w:sz w:val="20"/>
          <w:szCs w:val="20"/>
          <w:shd w:val="clear" w:color="auto" w:fill="FFFFFF"/>
        </w:rPr>
        <w:t>Văn bản quy phạm pháp luật chỉ được sửa đổi, bổ sung, thay thế hoặc bãi bỏ bằng văn bản quy phạm pháp luật của chính cơ quan nhà nước đã ban hành văn bản đó hoặc bị đình chỉ việc thi hành h</w:t>
      </w:r>
      <w:r>
        <w:rPr>
          <w:color w:val="000000"/>
          <w:sz w:val="20"/>
          <w:szCs w:val="20"/>
          <w:shd w:val="clear" w:color="auto" w:fill="FFFFFF"/>
        </w:rPr>
        <w:t>oặc bãi bỏ bằng văn bản của cơ quan nhà nước, người có thẩm quyền…</w:t>
      </w:r>
    </w:p>
  </w:footnote>
  <w:footnote w:id="3">
    <w:p w:rsidR="00003C79" w:rsidRDefault="00373866" w:rsidP="00286171">
      <w:pPr>
        <w:ind w:firstLine="720"/>
        <w:jc w:val="both"/>
        <w:rPr>
          <w:b/>
        </w:rPr>
      </w:pPr>
      <w:r>
        <w:rPr>
          <w:rStyle w:val="FootnoteReference"/>
          <w:sz w:val="20"/>
          <w:szCs w:val="20"/>
        </w:rPr>
        <w:footnoteRef/>
      </w:r>
      <w:r>
        <w:rPr>
          <w:sz w:val="20"/>
          <w:szCs w:val="20"/>
        </w:rPr>
        <w:t xml:space="preserve"> Luật Tổ chức chính quyền địa phương ngày 19/6/2015; Luật Ban hành văn bản quy phạm pháp luật ngày 22/6/2015; </w:t>
      </w:r>
      <w:r>
        <w:rPr>
          <w:sz w:val="20"/>
          <w:szCs w:val="20"/>
          <w:lang w:val="nl-NL"/>
        </w:rPr>
        <w:t>Luật Doanh nghiệp ngày 17/6/2020; Luật Hỗ trợ Doanh nghiệp nhỏ và vừa ngày 12/</w:t>
      </w:r>
      <w:r>
        <w:rPr>
          <w:sz w:val="20"/>
          <w:szCs w:val="20"/>
          <w:lang w:val="nl-NL"/>
        </w:rPr>
        <w:t>6/2017; các Nghị định của Chính phủ: số 01/2021/NĐ-CP ngày 04/01/ 2021 về đăng ký doanh nghiệp,</w:t>
      </w:r>
      <w:r>
        <w:rPr>
          <w:sz w:val="20"/>
          <w:szCs w:val="20"/>
        </w:rPr>
        <w:t xml:space="preserve"> số 139/2016/NĐ-</w:t>
      </w:r>
      <w:r>
        <w:rPr>
          <w:sz w:val="20"/>
          <w:szCs w:val="20"/>
          <w:lang w:val="vi-VN"/>
        </w:rPr>
        <w:t xml:space="preserve">CP </w:t>
      </w:r>
      <w:r>
        <w:rPr>
          <w:sz w:val="20"/>
          <w:szCs w:val="20"/>
        </w:rPr>
        <w:t>ngày 04/10/2016 quy định về lệ phí môn bài; số 22/2020/NĐ-CP ngày 24/02/2020 sửa đổi, bổ sung một số điều của Nghị định số 139/2016/NĐ-</w:t>
      </w:r>
      <w:r>
        <w:rPr>
          <w:sz w:val="20"/>
          <w:szCs w:val="20"/>
          <w:lang w:val="vi-VN"/>
        </w:rPr>
        <w:t>C</w:t>
      </w:r>
      <w:r>
        <w:rPr>
          <w:sz w:val="20"/>
          <w:szCs w:val="20"/>
          <w:lang w:val="vi-VN"/>
        </w:rPr>
        <w:t xml:space="preserve">P; </w:t>
      </w:r>
      <w:r>
        <w:rPr>
          <w:sz w:val="20"/>
          <w:szCs w:val="20"/>
        </w:rPr>
        <w:t>số 80/2021/NĐ-CP ngày 26/8/2021 của Chính phủ quy định chi tiết và hướng dẫn thi hành một số điều của Luật Hỗ trợ doanh nghiệp nhỏ và vừa…</w:t>
      </w:r>
    </w:p>
  </w:footnote>
  <w:footnote w:id="4">
    <w:p w:rsidR="00003C79" w:rsidRDefault="00373866" w:rsidP="00286171">
      <w:pPr>
        <w:pStyle w:val="BodyText"/>
        <w:widowControl w:val="0"/>
        <w:ind w:firstLine="720"/>
        <w:jc w:val="both"/>
        <w:rPr>
          <w:rFonts w:ascii="Times New Roman" w:hAnsi="Times New Roman"/>
          <w:b w:val="0"/>
          <w:lang w:val="en-US"/>
        </w:rPr>
      </w:pPr>
      <w:r>
        <w:rPr>
          <w:rStyle w:val="FootnoteReference"/>
          <w:rFonts w:ascii="Times New Roman" w:hAnsi="Times New Roman"/>
          <w:b w:val="0"/>
        </w:rPr>
        <w:footnoteRef/>
      </w:r>
      <w:r>
        <w:rPr>
          <w:rFonts w:ascii="Times New Roman" w:hAnsi="Times New Roman"/>
          <w:b w:val="0"/>
        </w:rPr>
        <w:t xml:space="preserve"> </w:t>
      </w:r>
      <w:r>
        <w:rPr>
          <w:rFonts w:ascii="Times New Roman" w:hAnsi="Times New Roman"/>
          <w:b w:val="0"/>
          <w:lang w:val="en-US"/>
        </w:rPr>
        <w:t>Báo cáo thẩm định số 167/BC-STP ngày 5/6/2023 của Sở Tư pháp.</w:t>
      </w:r>
    </w:p>
  </w:footnote>
  <w:footnote w:id="5">
    <w:p w:rsidR="00003C79" w:rsidRPr="00286171" w:rsidRDefault="00373866" w:rsidP="00286171">
      <w:pPr>
        <w:ind w:firstLine="720"/>
        <w:jc w:val="both"/>
        <w:rPr>
          <w:sz w:val="20"/>
          <w:szCs w:val="20"/>
        </w:rPr>
      </w:pPr>
      <w:r>
        <w:rPr>
          <w:rStyle w:val="FootnoteReference"/>
          <w:sz w:val="20"/>
          <w:szCs w:val="20"/>
        </w:rPr>
        <w:footnoteRef/>
      </w:r>
      <w:r>
        <w:rPr>
          <w:sz w:val="20"/>
          <w:szCs w:val="20"/>
        </w:rPr>
        <w:t xml:space="preserve"> </w:t>
      </w:r>
      <w:r>
        <w:rPr>
          <w:color w:val="000000"/>
          <w:sz w:val="20"/>
          <w:szCs w:val="20"/>
          <w:shd w:val="clear" w:color="auto" w:fill="FFFFFF"/>
          <w:lang w:val="vi-VN"/>
        </w:rPr>
        <w:t xml:space="preserve">Thay thế văn bản được áp dụng trong trường hợp </w:t>
      </w:r>
      <w:r>
        <w:rPr>
          <w:color w:val="000000"/>
          <w:sz w:val="20"/>
          <w:szCs w:val="20"/>
          <w:shd w:val="clear" w:color="auto" w:fill="FFFFFF"/>
          <w:lang w:val="vi-VN"/>
        </w:rPr>
        <w:t>toàn bộ hoặc phần lớn nội dung của văn bản trái, chồng chéo, mâu thuẫn với văn b</w:t>
      </w:r>
      <w:r>
        <w:rPr>
          <w:color w:val="000000"/>
          <w:sz w:val="20"/>
          <w:szCs w:val="20"/>
          <w:shd w:val="clear" w:color="auto" w:fill="FFFFFF"/>
        </w:rPr>
        <w:t>ả</w:t>
      </w:r>
      <w:r>
        <w:rPr>
          <w:color w:val="000000"/>
          <w:sz w:val="20"/>
          <w:szCs w:val="20"/>
          <w:shd w:val="clear" w:color="auto" w:fill="FFFFFF"/>
          <w:lang w:val="vi-VN"/>
        </w:rPr>
        <w:t>n là căn cứ để rà soát hoặc không còn phù hợp với tình hình phát triển kinh tế - xã hội</w:t>
      </w:r>
      <w:r w:rsidR="00286171">
        <w:rPr>
          <w:color w:val="000000"/>
          <w:sz w:val="20"/>
          <w:szCs w:val="20"/>
          <w:shd w:val="clear" w:color="auto" w:fill="FFFFFF"/>
        </w:rPr>
        <w:t>.</w:t>
      </w:r>
    </w:p>
    <w:p w:rsidR="00003C79" w:rsidRDefault="00003C79" w:rsidP="00286171">
      <w:pPr>
        <w:pStyle w:val="BodyText"/>
        <w:widowControl w:val="0"/>
        <w:ind w:firstLine="720"/>
        <w:jc w:val="both"/>
        <w:rPr>
          <w:rFonts w:ascii="Times New Roman" w:hAnsi="Times New Roman"/>
          <w:b w:val="0"/>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68908"/>
      <w:docPartObj>
        <w:docPartGallery w:val="Page Numbers (Top of Page)"/>
        <w:docPartUnique/>
      </w:docPartObj>
    </w:sdtPr>
    <w:sdtEndPr>
      <w:rPr>
        <w:noProof/>
      </w:rPr>
    </w:sdtEndPr>
    <w:sdtContent>
      <w:p w:rsidR="00003C79" w:rsidRDefault="00373866">
        <w:pPr>
          <w:pStyle w:val="Header"/>
          <w:jc w:val="center"/>
        </w:pPr>
        <w:r>
          <w:fldChar w:fldCharType="begin"/>
        </w:r>
        <w:r>
          <w:instrText xml:space="preserve"> PAGE   \* MERGEFORMAT </w:instrText>
        </w:r>
        <w:r>
          <w:fldChar w:fldCharType="separate"/>
        </w:r>
        <w:r w:rsidR="0028617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C79" w:rsidRDefault="00003C79">
    <w:pPr>
      <w:pStyle w:val="Header"/>
      <w:jc w:val="cent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79"/>
    <w:rsid w:val="00003C79"/>
    <w:rsid w:val="00286171"/>
    <w:rsid w:val="0037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color w:val="auto"/>
    </w:rPr>
  </w:style>
  <w:style w:type="paragraph" w:styleId="Heading1">
    <w:name w:val="heading 1"/>
    <w:basedOn w:val="Normal"/>
    <w:next w:val="Normal"/>
    <w:link w:val="Heading1Char"/>
    <w:qFormat/>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 w:hAnsi=".VnTime"/>
      <w:bCs/>
      <w:color w:val="auto"/>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b w:val="0"/>
      <w:color w:val="auto"/>
    </w:rPr>
  </w:style>
  <w:style w:type="character" w:styleId="PageNumber">
    <w:name w:val="page number"/>
    <w:basedOn w:val="DefaultParagraphFont"/>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paragraph" w:styleId="BodyText">
    <w:name w:val="Body Text"/>
    <w:basedOn w:val="Normal"/>
    <w:link w:val="BodyTextChar"/>
    <w:pPr>
      <w:jc w:val="center"/>
    </w:pPr>
    <w:rPr>
      <w:rFonts w:ascii=".VnTime" w:hAnsi=".VnTime"/>
      <w:b/>
      <w:sz w:val="20"/>
      <w:szCs w:val="20"/>
      <w:lang w:val="x-none" w:eastAsia="x-none"/>
    </w:rPr>
  </w:style>
  <w:style w:type="character" w:customStyle="1" w:styleId="BodyTextChar">
    <w:name w:val="Body Text Char"/>
    <w:basedOn w:val="DefaultParagraphFont"/>
    <w:link w:val="BodyText"/>
    <w:rPr>
      <w:rFonts w:ascii=".VnTime" w:hAnsi=".VnTime"/>
      <w:color w:val="auto"/>
      <w:sz w:val="20"/>
      <w:szCs w:val="20"/>
      <w:lang w:val="x-none" w:eastAsia="x-non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b w:val="0"/>
      <w:color w:val="auto"/>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b w:val="0"/>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color w:val="auto"/>
    </w:rPr>
  </w:style>
  <w:style w:type="paragraph" w:styleId="Heading1">
    <w:name w:val="heading 1"/>
    <w:basedOn w:val="Normal"/>
    <w:next w:val="Normal"/>
    <w:link w:val="Heading1Char"/>
    <w:qFormat/>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 w:hAnsi=".VnTime"/>
      <w:bCs/>
      <w:color w:val="auto"/>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b w:val="0"/>
      <w:color w:val="auto"/>
    </w:rPr>
  </w:style>
  <w:style w:type="character" w:styleId="PageNumber">
    <w:name w:val="page number"/>
    <w:basedOn w:val="DefaultParagraphFont"/>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paragraph" w:styleId="BodyText">
    <w:name w:val="Body Text"/>
    <w:basedOn w:val="Normal"/>
    <w:link w:val="BodyTextChar"/>
    <w:pPr>
      <w:jc w:val="center"/>
    </w:pPr>
    <w:rPr>
      <w:rFonts w:ascii=".VnTime" w:hAnsi=".VnTime"/>
      <w:b/>
      <w:sz w:val="20"/>
      <w:szCs w:val="20"/>
      <w:lang w:val="x-none" w:eastAsia="x-none"/>
    </w:rPr>
  </w:style>
  <w:style w:type="character" w:customStyle="1" w:styleId="BodyTextChar">
    <w:name w:val="Body Text Char"/>
    <w:basedOn w:val="DefaultParagraphFont"/>
    <w:link w:val="BodyText"/>
    <w:rPr>
      <w:rFonts w:ascii=".VnTime" w:hAnsi=".VnTime"/>
      <w:color w:val="auto"/>
      <w:sz w:val="20"/>
      <w:szCs w:val="20"/>
      <w:lang w:val="x-none" w:eastAsia="x-non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b w:val="0"/>
      <w:color w:val="auto"/>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b w:val="0"/>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4437">
      <w:bodyDiv w:val="1"/>
      <w:marLeft w:val="0"/>
      <w:marRight w:val="0"/>
      <w:marTop w:val="0"/>
      <w:marBottom w:val="0"/>
      <w:divBdr>
        <w:top w:val="none" w:sz="0" w:space="0" w:color="auto"/>
        <w:left w:val="none" w:sz="0" w:space="0" w:color="auto"/>
        <w:bottom w:val="none" w:sz="0" w:space="0" w:color="auto"/>
        <w:right w:val="none" w:sz="0" w:space="0" w:color="auto"/>
      </w:divBdr>
    </w:div>
    <w:div w:id="820005710">
      <w:bodyDiv w:val="1"/>
      <w:marLeft w:val="0"/>
      <w:marRight w:val="0"/>
      <w:marTop w:val="0"/>
      <w:marBottom w:val="0"/>
      <w:divBdr>
        <w:top w:val="none" w:sz="0" w:space="0" w:color="auto"/>
        <w:left w:val="none" w:sz="0" w:space="0" w:color="auto"/>
        <w:bottom w:val="none" w:sz="0" w:space="0" w:color="auto"/>
        <w:right w:val="none" w:sz="0" w:space="0" w:color="auto"/>
      </w:divBdr>
    </w:div>
    <w:div w:id="1128742873">
      <w:bodyDiv w:val="1"/>
      <w:marLeft w:val="0"/>
      <w:marRight w:val="0"/>
      <w:marTop w:val="0"/>
      <w:marBottom w:val="0"/>
      <w:divBdr>
        <w:top w:val="none" w:sz="0" w:space="0" w:color="auto"/>
        <w:left w:val="none" w:sz="0" w:space="0" w:color="auto"/>
        <w:bottom w:val="none" w:sz="0" w:space="0" w:color="auto"/>
        <w:right w:val="none" w:sz="0" w:space="0" w:color="auto"/>
      </w:divBdr>
    </w:div>
    <w:div w:id="2011177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DB9EEA-CD42-4790-8DA9-E77FD194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Company>Microsoft</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QH-HĐND tỉnh Hà Tĩnh</dc:title>
  <dc:creator>Microsoft Office User</dc:creator>
  <cp:lastModifiedBy>Windows User</cp:lastModifiedBy>
  <cp:revision>7</cp:revision>
  <dcterms:created xsi:type="dcterms:W3CDTF">2023-07-10T07:57:00Z</dcterms:created>
  <dcterms:modified xsi:type="dcterms:W3CDTF">2023-07-11T08:05:00Z</dcterms:modified>
</cp:coreProperties>
</file>