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1"/>
        <w:gridCol w:w="6017"/>
      </w:tblGrid>
      <w:tr>
        <w:trPr>
          <w:trHeight w:val="1244"/>
        </w:trPr>
        <w:tc>
          <w:tcPr>
            <w:tcW w:w="1761" w:type="pct"/>
          </w:tcPr>
          <w:p>
            <w:pPr>
              <w:jc w:val="center"/>
              <w:rPr>
                <w:b/>
                <w:sz w:val="26"/>
                <w:szCs w:val="26"/>
              </w:rPr>
            </w:pPr>
            <w:r>
              <w:rPr>
                <w:b/>
                <w:sz w:val="26"/>
                <w:szCs w:val="26"/>
              </w:rPr>
              <w:t>HỘI ĐỒNG NHÂN DÂN</w:t>
            </w:r>
          </w:p>
          <w:p>
            <w:pPr>
              <w:jc w:val="center"/>
              <w:rPr>
                <w:b/>
                <w:sz w:val="26"/>
                <w:szCs w:val="26"/>
              </w:rPr>
            </w:pPr>
            <w:r>
              <w:rPr>
                <w:b/>
                <w:sz w:val="26"/>
                <w:szCs w:val="26"/>
              </w:rPr>
              <w:t>TỈNH HÀ TĨNH</w:t>
            </w:r>
          </w:p>
          <w:p>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556770</wp:posOffset>
                      </wp:positionH>
                      <wp:positionV relativeFrom="paragraph">
                        <wp:posOffset>44450</wp:posOffset>
                      </wp:positionV>
                      <wp:extent cx="794479"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5pt" to="10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"/>
                  </w:pict>
                </mc:Fallback>
              </mc:AlternateContent>
            </w:r>
          </w:p>
          <w:p>
            <w:pPr>
              <w:jc w:val="center"/>
              <w:rPr>
                <w:b/>
                <w:sz w:val="26"/>
                <w:szCs w:val="26"/>
                <w:lang w:val="vi-VN"/>
              </w:rPr>
            </w:pPr>
            <w:r>
              <w:rPr>
                <w:sz w:val="26"/>
                <w:szCs w:val="26"/>
              </w:rPr>
              <w:t>Số: 340/BC-HĐND</w:t>
            </w:r>
          </w:p>
        </w:tc>
        <w:tc>
          <w:tcPr>
            <w:tcW w:w="3239" w:type="pct"/>
          </w:tcPr>
          <w:p>
            <w:pPr>
              <w:jc w:val="center"/>
              <w:rPr>
                <w:b/>
                <w:sz w:val="26"/>
                <w:szCs w:val="26"/>
                <w:lang w:val="vi-VN"/>
              </w:rPr>
            </w:pPr>
            <w:r>
              <w:rPr>
                <w:b/>
                <w:sz w:val="26"/>
                <w:szCs w:val="26"/>
                <w:lang w:val="vi-VN"/>
              </w:rPr>
              <w:t>CỘNG HOÀ XÃ HỘI CHỦ NGHĨA VIỆT NAM</w:t>
            </w:r>
          </w:p>
          <w:p>
            <w:pPr>
              <w:jc w:val="center"/>
              <w:rPr>
                <w:b/>
                <w:sz w:val="26"/>
                <w:szCs w:val="26"/>
              </w:rPr>
            </w:pPr>
            <w:r>
              <w:rPr>
                <w:b/>
                <w:sz w:val="26"/>
                <w:szCs w:val="26"/>
              </w:rPr>
              <w:t>Độc lập - Tự do - Hạnh phúc</w:t>
            </w:r>
          </w:p>
          <w:p>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1078740</wp:posOffset>
                      </wp:positionH>
                      <wp:positionV relativeFrom="paragraph">
                        <wp:posOffset>53975</wp:posOffset>
                      </wp:positionV>
                      <wp:extent cx="1476531"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5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4.25pt" to="20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"/>
                  </w:pict>
                </mc:Fallback>
              </mc:AlternateContent>
            </w:r>
          </w:p>
          <w:p>
            <w:pPr>
              <w:jc w:val="center"/>
              <w:rPr>
                <w:sz w:val="26"/>
                <w:szCs w:val="26"/>
              </w:rPr>
            </w:pPr>
            <w:r>
              <w:rPr>
                <w:i/>
                <w:sz w:val="26"/>
                <w:szCs w:val="26"/>
              </w:rPr>
              <w:t>Hà Tĩnh, ngày 11 tháng 7 năm 2023</w:t>
            </w:r>
          </w:p>
        </w:tc>
      </w:tr>
    </w:tbl>
    <w:p>
      <w:pPr>
        <w:jc w:val="center"/>
        <w:outlineLvl w:val="0"/>
        <w:rPr>
          <w:b/>
          <w:sz w:val="28"/>
          <w:szCs w:val="28"/>
          <w:lang w:val="vi-VN"/>
        </w:rPr>
      </w:pPr>
    </w:p>
    <w:p>
      <w:pPr>
        <w:jc w:val="center"/>
        <w:outlineLvl w:val="0"/>
        <w:rPr>
          <w:b/>
          <w:sz w:val="28"/>
          <w:szCs w:val="28"/>
          <w:lang w:val="vi-VN"/>
        </w:rPr>
      </w:pPr>
      <w:r>
        <w:rPr>
          <w:b/>
          <w:sz w:val="28"/>
          <w:szCs w:val="28"/>
          <w:lang w:val="vi-VN"/>
        </w:rPr>
        <w:t>BÁO CÁO</w:t>
      </w:r>
    </w:p>
    <w:p>
      <w:pPr>
        <w:jc w:val="center"/>
        <w:rPr>
          <w:rFonts w:ascii="Times New Roman Bold" w:hAnsi="Times New Roman Bold"/>
          <w:b/>
          <w:sz w:val="28"/>
          <w:szCs w:val="28"/>
        </w:rPr>
      </w:pPr>
      <w:r>
        <w:rPr>
          <w:rFonts w:ascii="Times New Roman Bold" w:hAnsi="Times New Roman Bold"/>
          <w:b/>
          <w:sz w:val="28"/>
          <w:szCs w:val="28"/>
          <w:lang w:val="vi-VN"/>
        </w:rPr>
        <w:t xml:space="preserve">Thẩm tra </w:t>
      </w:r>
      <w:r>
        <w:rPr>
          <w:rFonts w:ascii="Times New Roman Bold" w:hAnsi="Times New Roman Bold"/>
          <w:b/>
          <w:sz w:val="28"/>
          <w:szCs w:val="28"/>
        </w:rPr>
        <w:t>dự kiến phương án phân bổ kế hoạch đầu tư công năm 2024</w:t>
      </w:r>
    </w:p>
    <w:p>
      <w:pPr>
        <w:jc w:val="center"/>
        <w:rPr>
          <w:iCs/>
          <w:sz w:val="42"/>
          <w:szCs w:val="28"/>
          <w:lang w:val="vi-VN"/>
        </w:rPr>
      </w:pPr>
      <w:r>
        <w:rPr>
          <w:bCs/>
          <w:noProof/>
          <w:sz w:val="42"/>
          <w:szCs w:val="28"/>
        </w:rPr>
        <mc:AlternateContent>
          <mc:Choice Requires="wps">
            <w:drawing>
              <wp:anchor distT="0" distB="0" distL="114300" distR="114300" simplePos="0" relativeHeight="251661312" behindDoc="0" locked="0" layoutInCell="1" allowOverlap="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pPr>
        <w:spacing w:after="120" w:line="360" w:lineRule="exact"/>
        <w:ind w:firstLine="720"/>
        <w:jc w:val="both"/>
        <w:rPr>
          <w:sz w:val="28"/>
          <w:szCs w:val="28"/>
          <w:lang w:val="pt-BR"/>
        </w:rPr>
      </w:pPr>
      <w:r>
        <w:rPr>
          <w:sz w:val="28"/>
          <w:szCs w:val="28"/>
          <w:lang w:val="pt-BR"/>
        </w:rPr>
        <w:t>Thực hiện chức năng, nhiệm vụ theo quy định và phân công của Thường trực Hội đồng nhân dân tỉnh, Ban Kinh tế - Ngân sách báo cáo Hội đồng nhân dân tỉnh kết quả thẩm tra Báo cáo số 280/BC-UBND ngày 10/7/2023, Tờ trình số 287/TTr-UBND ngày 11/7/2023 của Ủy ban nhân dân tỉnh và dự thảo Nghị quyết về dự kiến Kế hoạch đầu tư công năm 2024 như sau:</w:t>
      </w:r>
    </w:p>
    <w:p>
      <w:pPr>
        <w:spacing w:after="120" w:line="360" w:lineRule="exact"/>
        <w:ind w:firstLine="720"/>
        <w:jc w:val="both"/>
        <w:rPr>
          <w:b/>
          <w:iCs/>
          <w:sz w:val="28"/>
          <w:szCs w:val="28"/>
        </w:rPr>
      </w:pPr>
      <w:r>
        <w:rPr>
          <w:b/>
          <w:iCs/>
          <w:sz w:val="28"/>
          <w:szCs w:val="28"/>
        </w:rPr>
        <w:t xml:space="preserve">1. Căn cứ pháp lý, sự cần thiết, thẩm quyền ban hành và </w:t>
      </w:r>
      <w:bookmarkStart w:id="0" w:name="dieu_55"/>
      <w:r>
        <w:rPr>
          <w:b/>
          <w:iCs/>
          <w:sz w:val="28"/>
          <w:szCs w:val="28"/>
        </w:rPr>
        <w:t xml:space="preserve">trình tự lập, thẩm định kế hoạch đầu tư công </w:t>
      </w:r>
      <w:bookmarkEnd w:id="0"/>
      <w:r>
        <w:rPr>
          <w:b/>
          <w:iCs/>
          <w:sz w:val="28"/>
          <w:szCs w:val="28"/>
        </w:rPr>
        <w:t>năm 2024</w:t>
      </w:r>
    </w:p>
    <w:p>
      <w:pPr>
        <w:spacing w:after="120" w:line="360" w:lineRule="exact"/>
        <w:ind w:firstLine="720"/>
        <w:jc w:val="both"/>
        <w:rPr>
          <w:iCs/>
          <w:sz w:val="28"/>
          <w:szCs w:val="28"/>
        </w:rPr>
      </w:pPr>
      <w:bookmarkStart w:id="1" w:name="_Toc530131107"/>
      <w:bookmarkStart w:id="2" w:name="dieu_58"/>
      <w:r>
        <w:rPr>
          <w:sz w:val="28"/>
          <w:szCs w:val="28"/>
          <w:lang w:val="pt-BR"/>
        </w:rPr>
        <w:t xml:space="preserve">Việc Ủy ban nhân dân tỉnh trình Hội đồng nhân dân tỉnh thông qua dự kiến kế hoạch đầu tư công năm 2024 là </w:t>
      </w:r>
      <w:r>
        <w:rPr>
          <w:iCs/>
          <w:sz w:val="28"/>
          <w:szCs w:val="28"/>
          <w:lang w:val="pt-BR"/>
        </w:rPr>
        <w:t xml:space="preserve">cần thiết và </w:t>
      </w:r>
      <w:r>
        <w:rPr>
          <w:sz w:val="28"/>
          <w:szCs w:val="28"/>
          <w:lang w:val="pt-BR"/>
        </w:rPr>
        <w:t>đúng thẩm quyền theo quy định tại Điều 56, Luật Đầu tư công năm 2019 và các văn bản hướng dẫn của Trung ương</w:t>
      </w:r>
      <w:r>
        <w:rPr>
          <w:rStyle w:val="FootnoteReference"/>
          <w:sz w:val="28"/>
          <w:szCs w:val="28"/>
          <w:lang w:val="pt-BR"/>
        </w:rPr>
        <w:footnoteReference w:id="1"/>
      </w:r>
      <w:r>
        <w:rPr>
          <w:sz w:val="28"/>
          <w:szCs w:val="28"/>
          <w:lang w:val="pt-BR"/>
        </w:rPr>
        <w:t>.</w:t>
      </w:r>
      <w:bookmarkEnd w:id="1"/>
    </w:p>
    <w:p>
      <w:pPr>
        <w:spacing w:after="120" w:line="360" w:lineRule="exact"/>
        <w:ind w:firstLine="720"/>
        <w:jc w:val="both"/>
        <w:rPr>
          <w:iCs/>
          <w:sz w:val="28"/>
          <w:szCs w:val="28"/>
        </w:rPr>
      </w:pPr>
      <w:r>
        <w:rPr>
          <w:iCs/>
          <w:sz w:val="28"/>
          <w:szCs w:val="28"/>
        </w:rPr>
        <w:t xml:space="preserve">Nội dung, hồ sơ thủ tục, biểu mẫu trình Hội đồng nhân dân tỉnh cơ bản đảm bảo theo quy định tại Điều 50, Luật Đầu tư công năm 2019 và </w:t>
      </w:r>
      <w:r>
        <w:rPr>
          <w:sz w:val="28"/>
          <w:szCs w:val="28"/>
        </w:rPr>
        <w:t xml:space="preserve">Văn bản số </w:t>
      </w:r>
      <w:r>
        <w:rPr>
          <w:sz w:val="28"/>
          <w:szCs w:val="28"/>
          <w:lang w:val="nl-NL"/>
        </w:rPr>
        <w:t>4460/BKHĐT-TH ngày 13/6/2023</w:t>
      </w:r>
      <w:r>
        <w:rPr>
          <w:sz w:val="28"/>
          <w:szCs w:val="28"/>
          <w:lang w:val="vi-VN"/>
        </w:rPr>
        <w:t xml:space="preserve"> của Bộ Kế hoạch và Đầu tư</w:t>
      </w:r>
      <w:r>
        <w:rPr>
          <w:iCs/>
          <w:sz w:val="28"/>
          <w:szCs w:val="28"/>
        </w:rPr>
        <w:t>, bao gồm: Tình hình thực hiện kế hoạch đầu tư công năm trước; định hướng đầu tư công trong năm kế hoạch; khả năng huy động và cân đối các nguồn vốn thực hiện trong năm kế hoạch; lựa chọn danh mục dự án và mức vốn bố trí cụ thể cho từng dự án phù hợp với danh mục dự án thuộc kế hoạch đầu tư công trung hạn và khả năng cân đối nguồn vốn kế hoạch hằng năm; giải pháp điều hành, tổ chức thực hiện và dự kiến kết quả đạt được.</w:t>
      </w:r>
    </w:p>
    <w:p>
      <w:pPr>
        <w:spacing w:after="120" w:line="360" w:lineRule="exact"/>
        <w:ind w:firstLine="720"/>
        <w:jc w:val="both"/>
        <w:rPr>
          <w:b/>
          <w:iCs/>
          <w:sz w:val="28"/>
          <w:szCs w:val="28"/>
        </w:rPr>
      </w:pPr>
      <w:r>
        <w:rPr>
          <w:b/>
          <w:iCs/>
          <w:sz w:val="28"/>
          <w:szCs w:val="28"/>
        </w:rPr>
        <w:t>2. Về nội dung Ủy ban nhân dân tỉnh trình</w:t>
      </w:r>
    </w:p>
    <w:p>
      <w:pPr>
        <w:spacing w:after="120" w:line="360" w:lineRule="exact"/>
        <w:ind w:firstLine="720"/>
        <w:jc w:val="both"/>
        <w:rPr>
          <w:rStyle w:val="fontstyle01"/>
        </w:rPr>
      </w:pPr>
      <w:r>
        <w:rPr>
          <w:rStyle w:val="fontstyle01"/>
          <w:i/>
        </w:rPr>
        <w:t xml:space="preserve">a) </w:t>
      </w:r>
      <w:r>
        <w:rPr>
          <w:i/>
          <w:sz w:val="28"/>
          <w:szCs w:val="28"/>
        </w:rPr>
        <w:t>Tình hình thực hiện kế hoạch đầu tư công năm 2023</w:t>
      </w:r>
    </w:p>
    <w:p>
      <w:pPr>
        <w:spacing w:after="120" w:line="360" w:lineRule="exact"/>
        <w:ind w:firstLine="720"/>
        <w:jc w:val="both"/>
        <w:rPr>
          <w:sz w:val="28"/>
          <w:szCs w:val="28"/>
        </w:rPr>
      </w:pPr>
      <w:r>
        <w:rPr>
          <w:rStyle w:val="fontstyle01"/>
        </w:rPr>
        <w:t xml:space="preserve">Ban Kinh tế - Ngân sách đánh giá cao công tác chỉ đạo, điều hành của Ủy ban nhân dân tỉnh trong việc tổ chức, chỉ đạo, đôn đốc thực hiện kế hoạch đầu tư công năm 2023; ban hành nhiều văn bản và thành lập 03 </w:t>
      </w:r>
      <w:r>
        <w:rPr>
          <w:sz w:val="28"/>
          <w:szCs w:val="28"/>
        </w:rPr>
        <w:t>Tổ công tác thúc đẩy giải ngân vốn đầu tư công để</w:t>
      </w:r>
      <w:r>
        <w:rPr>
          <w:sz w:val="28"/>
          <w:szCs w:val="28"/>
          <w:lang w:val="vi-VN"/>
        </w:rPr>
        <w:t xml:space="preserve"> </w:t>
      </w:r>
      <w:r>
        <w:rPr>
          <w:sz w:val="28"/>
          <w:szCs w:val="28"/>
        </w:rPr>
        <w:t xml:space="preserve">triển khai kiểm tra, rà soát, kịp thời xử lý những tồn tại, khó khăn, vướng mắc, điểm nghẽn liên quan đến triển khai, giải ngân và quản lý chất lượng công trình đầu tư xây dựng cơ bản trên địa bàn tỉnh. Để có </w:t>
      </w:r>
      <w:r>
        <w:rPr>
          <w:sz w:val="28"/>
          <w:szCs w:val="28"/>
        </w:rPr>
        <w:lastRenderedPageBreak/>
        <w:t>thêm thông tin cho Hội đồng nhân dân tỉnh thảo luận, đề nghị Ủy ban nhân tỉnh đánh giá, bổ sung một số nội dung sau:</w:t>
      </w:r>
    </w:p>
    <w:p>
      <w:pPr>
        <w:spacing w:after="120" w:line="360" w:lineRule="exact"/>
        <w:ind w:firstLine="720"/>
        <w:jc w:val="both"/>
        <w:rPr>
          <w:iCs/>
          <w:sz w:val="28"/>
          <w:szCs w:val="28"/>
        </w:rPr>
      </w:pPr>
      <w:r>
        <w:rPr>
          <w:sz w:val="28"/>
          <w:szCs w:val="28"/>
        </w:rPr>
        <w:t>- T</w:t>
      </w:r>
      <w:r>
        <w:rPr>
          <w:iCs/>
          <w:sz w:val="28"/>
          <w:szCs w:val="28"/>
        </w:rPr>
        <w:t>ình hình giao, điều chỉnh kế hoạch đầu tư công năm 2023 theo nguồn vốn.</w:t>
      </w:r>
    </w:p>
    <w:p>
      <w:pPr>
        <w:spacing w:after="120" w:line="360" w:lineRule="exact"/>
        <w:ind w:firstLine="720"/>
        <w:jc w:val="both"/>
        <w:rPr>
          <w:iCs/>
          <w:sz w:val="28"/>
          <w:szCs w:val="28"/>
        </w:rPr>
      </w:pPr>
      <w:r>
        <w:rPr>
          <w:iCs/>
          <w:sz w:val="28"/>
          <w:szCs w:val="28"/>
        </w:rPr>
        <w:t>- Đánh giá tình hình thực hiện và giải ngân kế hoạch đầu tư công 06 tháng đầu năm, khả năng thực hiện 09 tháng và ước thực hiện cả năm 2023 theo từng nguồn vốn: vốn ngân sách nhà nước (bao gồm: vốn ngân sách Trung ương và vốn ngân sách địa phương), vốn từ nguồn thu hợp pháp của các cơ quan nhà nước, đơn vị sự nghiệp công lập dành để đầu tư theo quy định của pháp luật</w:t>
      </w:r>
      <w:r>
        <w:rPr>
          <w:rStyle w:val="FootnoteReference"/>
          <w:iCs/>
          <w:sz w:val="28"/>
          <w:szCs w:val="28"/>
        </w:rPr>
        <w:footnoteReference w:id="2"/>
      </w:r>
      <w:r>
        <w:rPr>
          <w:iCs/>
          <w:sz w:val="28"/>
          <w:szCs w:val="28"/>
        </w:rPr>
        <w:t>.</w:t>
      </w:r>
    </w:p>
    <w:p>
      <w:pPr>
        <w:spacing w:after="120" w:line="360" w:lineRule="exact"/>
        <w:ind w:firstLine="720"/>
        <w:jc w:val="both"/>
        <w:rPr>
          <w:iCs/>
          <w:sz w:val="28"/>
          <w:szCs w:val="28"/>
        </w:rPr>
      </w:pPr>
      <w:r>
        <w:rPr>
          <w:iCs/>
          <w:sz w:val="28"/>
          <w:szCs w:val="28"/>
        </w:rPr>
        <w:t>- Đánh giá tình hình huy động các nguồn vốn của các thành phần kinh tế khác phục vụ cho đầu tư phát triển.</w:t>
      </w:r>
    </w:p>
    <w:p>
      <w:pPr>
        <w:spacing w:after="120" w:line="360" w:lineRule="exact"/>
        <w:ind w:firstLine="720"/>
        <w:jc w:val="both"/>
        <w:rPr>
          <w:iCs/>
          <w:sz w:val="28"/>
          <w:szCs w:val="28"/>
        </w:rPr>
      </w:pPr>
      <w:r>
        <w:rPr>
          <w:iCs/>
          <w:sz w:val="28"/>
          <w:szCs w:val="28"/>
        </w:rPr>
        <w:t>- Qua báo cáo</w:t>
      </w:r>
      <w:r>
        <w:rPr>
          <w:iCs/>
          <w:sz w:val="28"/>
          <w:szCs w:val="28"/>
          <w:lang w:val="vi-VN"/>
        </w:rPr>
        <w:t>,</w:t>
      </w:r>
      <w:r>
        <w:rPr>
          <w:iCs/>
          <w:sz w:val="28"/>
          <w:szCs w:val="28"/>
        </w:rPr>
        <w:t xml:space="preserve"> tiến độ giải ngân 06 tháng đầu năm đạt thấp (đạt 33,6%)</w:t>
      </w:r>
      <w:r>
        <w:rPr>
          <w:iCs/>
          <w:sz w:val="28"/>
          <w:szCs w:val="28"/>
          <w:lang w:val="vi-VN"/>
        </w:rPr>
        <w:t>,</w:t>
      </w:r>
      <w:r>
        <w:rPr>
          <w:iCs/>
          <w:sz w:val="28"/>
          <w:szCs w:val="28"/>
        </w:rPr>
        <w:t xml:space="preserve"> Trong đó: Nguồn vốn Chương trình phục hồi và phát triển kinh tế - xã hội và Nguồn vốn từ xổ số kiến thiết chưa  giải ngân; 19 dự án sử dụng ngân sách tỉnh đến ngày 30/6/2023 chưa giải ngân</w:t>
      </w:r>
      <w:r>
        <w:rPr>
          <w:rStyle w:val="FootnoteReference"/>
          <w:iCs/>
          <w:sz w:val="28"/>
          <w:szCs w:val="28"/>
        </w:rPr>
        <w:footnoteReference w:id="3"/>
      </w:r>
      <w:r>
        <w:rPr>
          <w:iCs/>
          <w:sz w:val="28"/>
          <w:szCs w:val="28"/>
        </w:rPr>
        <w:t>, nguồn vốn nước ngoài giải ngân chỉ đạt 6,5%, Bên cạnh các chủ đầu tư giải ngân đạt kết quả cao, còn có một số chủ đầu tư giải ngân đạt thấp</w:t>
      </w:r>
      <w:r>
        <w:rPr>
          <w:rStyle w:val="FootnoteReference"/>
          <w:iCs/>
          <w:sz w:val="28"/>
          <w:szCs w:val="28"/>
        </w:rPr>
        <w:footnoteReference w:id="4"/>
      </w:r>
      <w:r>
        <w:rPr>
          <w:iCs/>
          <w:sz w:val="28"/>
          <w:szCs w:val="28"/>
        </w:rPr>
        <w:t>. N</w:t>
      </w:r>
      <w:r>
        <w:rPr>
          <w:iCs/>
          <w:sz w:val="28"/>
          <w:szCs w:val="28"/>
          <w:lang w:val="vi-VN"/>
        </w:rPr>
        <w:t>guyên nhân từ</w:t>
      </w:r>
      <w:r>
        <w:rPr>
          <w:iCs/>
          <w:sz w:val="28"/>
          <w:szCs w:val="28"/>
        </w:rPr>
        <w:t xml:space="preserve"> công tác triển khai thủ tục đầu tư các dự án chậm, việc bố trí vốn chuẩn bị đầu tư thiếu khoa học, dẫn đến </w:t>
      </w:r>
      <w:r>
        <w:rPr>
          <w:sz w:val="28"/>
          <w:szCs w:val="28"/>
          <w:lang w:val="nl-NL"/>
        </w:rPr>
        <w:t>các dự án khởi công mới những tháng đầu năm chưa có khối lượng thanh toán</w:t>
      </w:r>
      <w:r>
        <w:rPr>
          <w:iCs/>
          <w:sz w:val="28"/>
          <w:szCs w:val="28"/>
        </w:rPr>
        <w:t xml:space="preserve">. Việc chậm giải </w:t>
      </w:r>
      <w:r>
        <w:rPr>
          <w:iCs/>
          <w:sz w:val="28"/>
          <w:szCs w:val="28"/>
        </w:rPr>
        <w:lastRenderedPageBreak/>
        <w:t>ngân và thủ tục triển khai chậm đã được Ủy ban nhân dân tỉnh phân tích đánh giá với 05 nhóm khó khăn, hạn chế, 03 nhóm nguyên nhân khách quan, 04 nhóm nguyên nhân chủ quan. Tuy nhiên, nhóm nguyên nhân chủ quan cần đánh giá trách nhiệm cụ thể của</w:t>
      </w:r>
      <w:r>
        <w:rPr>
          <w:iCs/>
          <w:sz w:val="28"/>
          <w:szCs w:val="28"/>
          <w:lang w:val="vi-VN"/>
        </w:rPr>
        <w:t xml:space="preserve"> </w:t>
      </w:r>
      <w:r>
        <w:rPr>
          <w:iCs/>
          <w:sz w:val="28"/>
          <w:szCs w:val="28"/>
        </w:rPr>
        <w:t>các đơn vị, cá nhân, người đứng đầu trong việc triển thủ tục chậm, giải ngân chậm, thậm chí chưa giải ngân.</w:t>
      </w:r>
    </w:p>
    <w:p>
      <w:pPr>
        <w:spacing w:after="120" w:line="360" w:lineRule="exact"/>
        <w:ind w:firstLine="720"/>
        <w:jc w:val="both"/>
        <w:rPr>
          <w:iCs/>
          <w:sz w:val="28"/>
          <w:szCs w:val="28"/>
        </w:rPr>
      </w:pPr>
      <w:r>
        <w:rPr>
          <w:iCs/>
          <w:sz w:val="28"/>
          <w:szCs w:val="28"/>
        </w:rPr>
        <w:t xml:space="preserve">Ban Kinh tế - Ngân sách thống nhất với 08 nhóm nhiệm vụ, giải pháp trọng tâm </w:t>
      </w:r>
      <w:r>
        <w:rPr>
          <w:sz w:val="28"/>
          <w:szCs w:val="28"/>
          <w:lang w:val="nl-NL"/>
        </w:rPr>
        <w:t>cần triển khai những tháng cuối năm 2023 như báo cáo của Ủy ban nhân dân tỉnh. Đồng thời, đề nghị Ủy ban nhân dân tỉnh rà soát quy trình chỉ đạo điều hành, quy trình giải ngân, không chỉ dừng lại ở việc đôn đốc, nhắc nhở; cần tăng cường công tác thanh tra công vụ nhằm đẩy nhanh tiến độ giải quyết thủ tục, phát hiện làm rõ trách nhiệm và xử lý những tồn tại hạn chế trong quá trình tiếp nhận hồ sơ và tổ chức thực hiện gắn với người đứng đầu.</w:t>
      </w:r>
    </w:p>
    <w:p>
      <w:pPr>
        <w:autoSpaceDE w:val="0"/>
        <w:autoSpaceDN w:val="0"/>
        <w:adjustRightInd w:val="0"/>
        <w:spacing w:after="120" w:line="360" w:lineRule="exact"/>
        <w:ind w:firstLine="720"/>
        <w:jc w:val="both"/>
        <w:rPr>
          <w:i/>
          <w:sz w:val="28"/>
          <w:szCs w:val="28"/>
          <w:lang w:val="nl-NL"/>
        </w:rPr>
      </w:pPr>
      <w:r>
        <w:rPr>
          <w:i/>
          <w:iCs/>
          <w:sz w:val="28"/>
          <w:szCs w:val="28"/>
        </w:rPr>
        <w:t xml:space="preserve">b) Về </w:t>
      </w:r>
      <w:r>
        <w:rPr>
          <w:i/>
          <w:sz w:val="28"/>
          <w:szCs w:val="28"/>
          <w:lang w:val="nl-NL"/>
        </w:rPr>
        <w:t>Dự kiến kế hoạch đầu tư công năm 2024</w:t>
      </w:r>
    </w:p>
    <w:p>
      <w:pPr>
        <w:spacing w:after="120" w:line="360" w:lineRule="exact"/>
        <w:ind w:firstLine="720"/>
        <w:jc w:val="both"/>
        <w:rPr>
          <w:sz w:val="28"/>
          <w:szCs w:val="28"/>
          <w:lang w:val="nl-NL"/>
        </w:rPr>
      </w:pPr>
      <w:r>
        <w:rPr>
          <w:iCs/>
          <w:sz w:val="28"/>
          <w:szCs w:val="28"/>
        </w:rPr>
        <w:t>Ban Kinh tế - Ngân sách cơ bản thống nhất</w:t>
      </w:r>
      <w:r>
        <w:rPr>
          <w:rStyle w:val="fontstyle01"/>
        </w:rPr>
        <w:t xml:space="preserve"> với mục tiêu, định hướng đầu tư công năm 2024 trong báo cáo của Ủy ban nhân dân tỉnh, đồng thời đề nghị bổ sung mục tiêu </w:t>
      </w:r>
      <w:r>
        <w:rPr>
          <w:rStyle w:val="fontstyle01"/>
          <w:i/>
        </w:rPr>
        <w:t>“</w:t>
      </w:r>
      <w:r>
        <w:rPr>
          <w:i/>
          <w:color w:val="000000"/>
          <w:sz w:val="28"/>
          <w:szCs w:val="28"/>
          <w:shd w:val="clear" w:color="auto" w:fill="FFFFFF"/>
        </w:rPr>
        <w:t>Phấn đấu giảm thời gian thực hiện và bố trí vốn các dự án so với thời gian tối đa được phép quy định tại</w:t>
      </w:r>
      <w:bookmarkStart w:id="3" w:name="dc_2"/>
      <w:r>
        <w:rPr>
          <w:i/>
          <w:color w:val="000000"/>
          <w:sz w:val="28"/>
          <w:szCs w:val="28"/>
          <w:shd w:val="clear" w:color="auto" w:fill="FFFFFF"/>
        </w:rPr>
        <w:t xml:space="preserve"> Điều 52 Luật Đầu tư công</w:t>
      </w:r>
      <w:bookmarkEnd w:id="3"/>
      <w:r>
        <w:rPr>
          <w:i/>
          <w:color w:val="000000"/>
          <w:sz w:val="28"/>
          <w:szCs w:val="28"/>
          <w:shd w:val="clear" w:color="auto" w:fill="FFFFFF"/>
        </w:rPr>
        <w:t>, sớm đưa công trình vào sử dụng, phát huy hiệu quả đầu tư”</w:t>
      </w:r>
      <w:r>
        <w:rPr>
          <w:sz w:val="28"/>
          <w:szCs w:val="28"/>
          <w:lang w:val="nl-NL"/>
        </w:rPr>
        <w:t>.</w:t>
      </w:r>
    </w:p>
    <w:p>
      <w:pPr>
        <w:spacing w:after="120" w:line="360" w:lineRule="exact"/>
        <w:ind w:firstLine="720"/>
        <w:jc w:val="both"/>
        <w:rPr>
          <w:sz w:val="28"/>
          <w:szCs w:val="28"/>
          <w:lang w:val="nl-NL"/>
        </w:rPr>
      </w:pPr>
      <w:r>
        <w:rPr>
          <w:sz w:val="28"/>
          <w:szCs w:val="28"/>
          <w:lang w:val="nl-NL"/>
        </w:rPr>
        <w:t>Phần vốn xây dựng cơ bản tập trung năm 2024 bổ sung có mục tiêu cho ngân sách cấp huyện cần có báo cáo và dự kiến phương án chi tiết.</w:t>
      </w:r>
    </w:p>
    <w:p>
      <w:pPr>
        <w:spacing w:after="120" w:line="360" w:lineRule="exact"/>
        <w:ind w:firstLine="720"/>
        <w:jc w:val="both"/>
        <w:rPr>
          <w:sz w:val="28"/>
          <w:szCs w:val="28"/>
          <w:lang w:val="nl-NL"/>
        </w:rPr>
      </w:pPr>
      <w:r>
        <w:rPr>
          <w:sz w:val="28"/>
          <w:szCs w:val="28"/>
          <w:lang w:val="nl-NL"/>
        </w:rPr>
        <w:t>Phần vốn thực hiện nhiệm vụ, dự án thuộc chương trình phục hồi và phát triển kinh tế - xã hội đã giao đủ vốn ngân sách Trung ương trong năm 2023, dự kiến đến cuối năm chỉ đạt 62,4%; cần sớm trình Thủ tướng Chính phủ cho phép kéo dài sang năm 2024. Đối với phần vốn ngân sách địa phương đảm nhận cũng cần xem xét để bố trí phù hợp với tiến độ của dự án.</w:t>
      </w:r>
    </w:p>
    <w:p>
      <w:pPr>
        <w:spacing w:after="120" w:line="360" w:lineRule="exact"/>
        <w:ind w:firstLine="720"/>
        <w:jc w:val="both"/>
        <w:rPr>
          <w:sz w:val="28"/>
          <w:szCs w:val="28"/>
          <w:lang w:val="nl-NL"/>
        </w:rPr>
      </w:pPr>
      <w:r>
        <w:rPr>
          <w:sz w:val="28"/>
          <w:szCs w:val="28"/>
          <w:lang w:val="nl-NL"/>
        </w:rPr>
        <w:t>Một số dự án sử dụng từ nguồn tiền sử dụng đất đã bố trí kế hoạch vốn năm 2023 nhưng dự kiến giải ngân không hết, cần sớm có phương án điều chuyển, điều chỉnh nguồn vốn và có phương án bố trí phù hợp với việc giải ngân trong năm 2024.</w:t>
      </w:r>
    </w:p>
    <w:p>
      <w:pPr>
        <w:spacing w:after="120" w:line="360" w:lineRule="exact"/>
        <w:ind w:firstLine="720"/>
        <w:jc w:val="both"/>
        <w:rPr>
          <w:sz w:val="28"/>
          <w:szCs w:val="28"/>
          <w:lang w:val="nl-NL"/>
        </w:rPr>
      </w:pPr>
      <w:r>
        <w:rPr>
          <w:sz w:val="28"/>
          <w:szCs w:val="28"/>
          <w:lang w:val="nl-NL"/>
        </w:rPr>
        <w:t xml:space="preserve">Đối với việc khởi công mới Dự án đường LX03 đoạn từ Thiên Cầm đến xã Cẩm Hòa, huyện Cẩm Xuyên (Dự kiến bố trí vốn 60.000 triệu đồng) trong năm 2024; </w:t>
      </w:r>
      <w:r>
        <w:rPr>
          <w:sz w:val="28"/>
          <w:szCs w:val="28"/>
          <w:lang w:val="nl-NL"/>
        </w:rPr>
        <w:t>trước khi bố trí vốn</w:t>
      </w:r>
      <w:r>
        <w:rPr>
          <w:sz w:val="28"/>
          <w:szCs w:val="28"/>
          <w:lang w:val="nl-NL"/>
        </w:rPr>
        <w:t xml:space="preserve"> đề nghị kiểm tra, rà soát kỹ và xác định rõ quy hoạch cũng như sự quan tâm của nhà đầu tư vào khu du lịch biển Thiên Cầm,  để tránh lãng phí nguồn lực đầu tư.</w:t>
      </w:r>
    </w:p>
    <w:p>
      <w:pPr>
        <w:spacing w:after="120" w:line="360" w:lineRule="exact"/>
        <w:ind w:firstLine="720"/>
        <w:jc w:val="both"/>
        <w:rPr>
          <w:sz w:val="28"/>
          <w:szCs w:val="28"/>
          <w:lang w:val="nl-NL"/>
        </w:rPr>
      </w:pPr>
      <w:r>
        <w:rPr>
          <w:sz w:val="28"/>
          <w:szCs w:val="28"/>
          <w:lang w:val="nl-NL"/>
        </w:rPr>
        <w:t xml:space="preserve">Báo cáo  mới dự kiến tổng nhu cầu đầu tư vốn ngân sách Nhà nước; trong khi đó khả năng huy động vốn lại chưa được đánh giá; 06 tháng đầu năm kết quả giải ngân mới chỉ đạt 33,6%; Ủy ban nhân dân tỉnh ước thực hiện năm là 96,3%; </w:t>
      </w:r>
      <w:r>
        <w:rPr>
          <w:sz w:val="28"/>
          <w:szCs w:val="28"/>
          <w:lang w:val="nl-NL"/>
        </w:rPr>
        <w:lastRenderedPageBreak/>
        <w:t>nội dung này cần có đánh giá chi tiết, căn cơ đến từng dự án để có phương án bố trí phù hợp và sớm có phương án dự kiến chuyển nguồn thực hiện sang năm 2024.</w:t>
      </w:r>
    </w:p>
    <w:p>
      <w:pPr>
        <w:spacing w:after="120" w:line="360" w:lineRule="exact"/>
        <w:ind w:firstLine="720"/>
        <w:jc w:val="both"/>
        <w:rPr>
          <w:b/>
          <w:color w:val="000000"/>
          <w:sz w:val="28"/>
          <w:szCs w:val="28"/>
        </w:rPr>
      </w:pPr>
      <w:r>
        <w:rPr>
          <w:b/>
          <w:color w:val="000000"/>
          <w:sz w:val="28"/>
          <w:szCs w:val="28"/>
        </w:rPr>
        <w:t>3. Về Dự thảo Nghị quyết</w:t>
      </w:r>
    </w:p>
    <w:p>
      <w:pPr>
        <w:spacing w:after="120" w:line="360" w:lineRule="exact"/>
        <w:ind w:firstLine="720"/>
        <w:jc w:val="both"/>
        <w:rPr>
          <w:rStyle w:val="fontstyle01"/>
        </w:rPr>
      </w:pPr>
      <w:r>
        <w:rPr>
          <w:rStyle w:val="fontstyle01"/>
        </w:rPr>
        <w:t xml:space="preserve">Đề nghị bổ sung nguyên tắc, nhiệm vụ phân bổ đảm bảo phù hợp với pháp luật về đầu tư công và hướng dẫn tại </w:t>
      </w:r>
      <w:r>
        <w:rPr>
          <w:sz w:val="28"/>
          <w:szCs w:val="28"/>
        </w:rPr>
        <w:t xml:space="preserve">Văn bản số </w:t>
      </w:r>
      <w:r>
        <w:rPr>
          <w:sz w:val="28"/>
          <w:szCs w:val="28"/>
          <w:lang w:val="nl-NL"/>
        </w:rPr>
        <w:t>4460/BKHĐT-TH ngày 13/6/2023</w:t>
      </w:r>
      <w:r>
        <w:rPr>
          <w:sz w:val="28"/>
          <w:szCs w:val="28"/>
        </w:rPr>
        <w:t xml:space="preserve"> của Bộ Kế hoạch và Đầu tư</w:t>
      </w:r>
      <w:r>
        <w:rPr>
          <w:sz w:val="28"/>
          <w:szCs w:val="28"/>
          <w:lang w:val="vi-VN"/>
        </w:rPr>
        <w:t xml:space="preserve"> và</w:t>
      </w:r>
      <w:r>
        <w:rPr>
          <w:sz w:val="28"/>
          <w:szCs w:val="28"/>
        </w:rPr>
        <w:t xml:space="preserve"> tình hình thực tiễn của địa phương.</w:t>
      </w:r>
    </w:p>
    <w:p>
      <w:pPr>
        <w:spacing w:after="120" w:line="360" w:lineRule="exact"/>
        <w:ind w:firstLine="720"/>
        <w:jc w:val="both"/>
        <w:rPr>
          <w:rStyle w:val="fontstyle01"/>
        </w:rPr>
      </w:pPr>
      <w:r>
        <w:rPr>
          <w:rStyle w:val="fontstyle01"/>
        </w:rPr>
        <w:t>Đối với phần tổ chức thực hiện, xem xét b</w:t>
      </w:r>
      <w:bookmarkStart w:id="4" w:name="_GoBack"/>
      <w:bookmarkEnd w:id="4"/>
      <w:r>
        <w:rPr>
          <w:rStyle w:val="fontstyle01"/>
        </w:rPr>
        <w:t xml:space="preserve">ổ sung nội dung </w:t>
      </w:r>
      <w:r>
        <w:rPr>
          <w:rStyle w:val="fontstyle01"/>
          <w:i/>
        </w:rPr>
        <w:t>“Ủy ban nhân nhân dân tỉnh linh hoạt điều chuyển vốn đầu tư công từ các dự án, nhiệm vụ chi giải ngân thấp, không có khả năng giải ngân sang dự án, nhiệm vụ chi giải ngân tốt, có khối lượng hoàn thành; giữa các cơ quan, đơn vị sử dụng ngân sách tỉnh năm 2023; báo cáo Hội đồng nhân dân tỉnh kết quả giao vốn, điều chuyển vốn năm 2023 tại Kỳ họp cuối năm 2023”;</w:t>
      </w:r>
    </w:p>
    <w:p>
      <w:pPr>
        <w:spacing w:after="120" w:line="360" w:lineRule="exact"/>
        <w:ind w:firstLine="720"/>
        <w:jc w:val="both"/>
        <w:rPr>
          <w:sz w:val="28"/>
          <w:szCs w:val="28"/>
        </w:rPr>
      </w:pPr>
      <w:r>
        <w:rPr>
          <w:sz w:val="28"/>
          <w:szCs w:val="28"/>
        </w:rPr>
        <w:t xml:space="preserve">Căn cứ các nội dung kết quả thẩm tra, Ban Kinh tế - Ngân sách kính trình </w:t>
      </w:r>
      <w:r>
        <w:rPr>
          <w:sz w:val="28"/>
          <w:szCs w:val="28"/>
          <w:lang w:val="sq-AL"/>
        </w:rPr>
        <w:t xml:space="preserve">Hội đồng nhân dân tỉnh xem xét, quyết định việc </w:t>
      </w:r>
      <w:r>
        <w:rPr>
          <w:color w:val="000000"/>
          <w:sz w:val="28"/>
          <w:szCs w:val="28"/>
          <w:shd w:val="clear" w:color="auto" w:fill="FFFFFF"/>
        </w:rPr>
        <w:t>thông qua dự kiến kế hoạch đầu tư công năm 2024</w:t>
      </w:r>
      <w:r>
        <w:rPr>
          <w:sz w:val="28"/>
          <w:szCs w:val="28"/>
        </w:rPr>
        <w:t>./.</w:t>
      </w:r>
      <w:bookmarkEnd w:id="2"/>
    </w:p>
    <w:p>
      <w:pPr>
        <w:spacing w:before="40" w:after="120" w:line="360" w:lineRule="exact"/>
        <w:ind w:firstLine="720"/>
        <w:jc w:val="both"/>
        <w:rPr>
          <w:sz w:val="28"/>
          <w:szCs w:val="28"/>
          <w:lang w:val="vi-VN"/>
        </w:rPr>
      </w:pPr>
    </w:p>
    <w:tbl>
      <w:tblPr>
        <w:tblW w:w="5000" w:type="pct"/>
        <w:tblLook w:val="0000" w:firstRow="0" w:lastRow="0" w:firstColumn="0" w:lastColumn="0" w:noHBand="0" w:noVBand="0"/>
      </w:tblPr>
      <w:tblGrid>
        <w:gridCol w:w="4259"/>
        <w:gridCol w:w="5029"/>
      </w:tblGrid>
      <w:tr>
        <w:trPr>
          <w:trHeight w:val="1169"/>
        </w:trPr>
        <w:tc>
          <w:tcPr>
            <w:tcW w:w="2293" w:type="pct"/>
          </w:tcPr>
          <w:p>
            <w:pPr>
              <w:pStyle w:val="Heading1"/>
              <w:jc w:val="both"/>
              <w:rPr>
                <w:rFonts w:ascii="Times New Roman" w:hAnsi="Times New Roman"/>
                <w:szCs w:val="22"/>
                <w:lang w:val="vi-VN"/>
              </w:rPr>
            </w:pPr>
            <w:r>
              <w:rPr>
                <w:rFonts w:ascii="Times New Roman" w:hAnsi="Times New Roman"/>
                <w:i/>
                <w:iCs/>
                <w:szCs w:val="22"/>
                <w:lang w:val="vi-VN"/>
              </w:rPr>
              <w:t>Nơi nhận:</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pPr>
              <w:pStyle w:val="Heading1"/>
              <w:jc w:val="both"/>
              <w:rPr>
                <w:rFonts w:ascii="Times New Roman" w:hAnsi="Times New Roman"/>
                <w:b w:val="0"/>
                <w:sz w:val="22"/>
                <w:szCs w:val="22"/>
              </w:rPr>
            </w:pPr>
            <w:r>
              <w:rPr>
                <w:rFonts w:ascii="Times New Roman" w:hAnsi="Times New Roman"/>
                <w:b w:val="0"/>
                <w:sz w:val="22"/>
                <w:szCs w:val="22"/>
                <w:lang w:val="vi-VN"/>
              </w:rPr>
              <w:t>- UBND tỉnh; UBMTTQ tỉnh;</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w:t>
            </w:r>
          </w:p>
          <w:p>
            <w:pPr>
              <w:pStyle w:val="Heading1"/>
              <w:jc w:val="both"/>
              <w:rPr>
                <w:rFonts w:ascii="Times New Roman" w:hAnsi="Times New Roman"/>
                <w:b w:val="0"/>
                <w:sz w:val="22"/>
                <w:szCs w:val="22"/>
              </w:rPr>
            </w:pPr>
            <w:r>
              <w:rPr>
                <w:rFonts w:ascii="Times New Roman" w:hAnsi="Times New Roman"/>
                <w:b w:val="0"/>
                <w:sz w:val="22"/>
                <w:szCs w:val="22"/>
                <w:lang w:val="vi-VN"/>
              </w:rPr>
              <w:t xml:space="preserve">- Các đại biểu tham dự kỳ họp thứ </w:t>
            </w:r>
            <w:r>
              <w:rPr>
                <w:rFonts w:ascii="Times New Roman" w:hAnsi="Times New Roman"/>
                <w:b w:val="0"/>
                <w:sz w:val="22"/>
                <w:szCs w:val="22"/>
              </w:rPr>
              <w:t>14</w:t>
            </w:r>
            <w:r>
              <w:rPr>
                <w:rFonts w:ascii="Times New Roman" w:hAnsi="Times New Roman"/>
                <w:b w:val="0"/>
                <w:sz w:val="22"/>
                <w:szCs w:val="22"/>
                <w:lang w:val="vi-VN"/>
              </w:rPr>
              <w:t>;</w:t>
            </w:r>
          </w:p>
          <w:p>
            <w:pPr>
              <w:rPr>
                <w:sz w:val="22"/>
                <w:szCs w:val="22"/>
              </w:rPr>
            </w:pPr>
            <w:r>
              <w:rPr>
                <w:sz w:val="22"/>
                <w:szCs w:val="22"/>
              </w:rPr>
              <w:t>- Văn phòng Tỉnh ủy;</w:t>
            </w:r>
          </w:p>
          <w:p>
            <w:pPr>
              <w:pStyle w:val="Heading1"/>
              <w:jc w:val="both"/>
              <w:rPr>
                <w:rFonts w:ascii="Times New Roman" w:hAnsi="Times New Roman"/>
                <w:b w:val="0"/>
                <w:sz w:val="22"/>
                <w:szCs w:val="22"/>
              </w:rPr>
            </w:pPr>
            <w:r>
              <w:rPr>
                <w:rFonts w:ascii="Times New Roman" w:hAnsi="Times New Roman"/>
                <w:b w:val="0"/>
                <w:sz w:val="22"/>
                <w:szCs w:val="22"/>
                <w:lang w:val="vi-VN"/>
              </w:rPr>
              <w:t xml:space="preserve">- Văn phòng </w:t>
            </w:r>
            <w:r>
              <w:rPr>
                <w:rFonts w:ascii="Times New Roman" w:hAnsi="Times New Roman"/>
                <w:b w:val="0"/>
                <w:sz w:val="22"/>
                <w:szCs w:val="22"/>
              </w:rPr>
              <w:t xml:space="preserve">Đoàn ĐBQH và </w:t>
            </w:r>
            <w:r>
              <w:rPr>
                <w:rFonts w:ascii="Times New Roman" w:hAnsi="Times New Roman"/>
                <w:b w:val="0"/>
                <w:sz w:val="22"/>
                <w:szCs w:val="22"/>
                <w:lang w:val="vi-VN"/>
              </w:rPr>
              <w:t>HĐND tỉnh;</w:t>
            </w:r>
          </w:p>
          <w:p>
            <w:pPr>
              <w:rPr>
                <w:sz w:val="22"/>
                <w:szCs w:val="22"/>
              </w:rPr>
            </w:pPr>
            <w:r>
              <w:rPr>
                <w:sz w:val="22"/>
                <w:szCs w:val="22"/>
              </w:rPr>
              <w:t>- Văn phòng UBND tỉnh;</w:t>
            </w:r>
          </w:p>
          <w:p>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 xml:space="preserve"> (</w:t>
            </w:r>
            <w:r>
              <w:rPr>
                <w:rFonts w:ascii="Times New Roman" w:hAnsi="Times New Roman"/>
                <w:b w:val="0"/>
                <w:sz w:val="22"/>
                <w:szCs w:val="22"/>
                <w:lang w:val="vi-VN"/>
              </w:rPr>
              <w:t>150b</w:t>
            </w:r>
            <w:r>
              <w:rPr>
                <w:rFonts w:ascii="Times New Roman" w:hAnsi="Times New Roman"/>
                <w:b w:val="0"/>
                <w:sz w:val="22"/>
                <w:szCs w:val="22"/>
              </w:rPr>
              <w:t>)</w:t>
            </w:r>
            <w:r>
              <w:rPr>
                <w:rFonts w:ascii="Times New Roman" w:hAnsi="Times New Roman"/>
                <w:b w:val="0"/>
                <w:sz w:val="22"/>
                <w:szCs w:val="22"/>
                <w:lang w:val="vi-VN"/>
              </w:rPr>
              <w:t>.</w:t>
            </w:r>
          </w:p>
        </w:tc>
        <w:tc>
          <w:tcPr>
            <w:tcW w:w="2707" w:type="pct"/>
          </w:tcPr>
          <w:p>
            <w:pPr>
              <w:jc w:val="center"/>
              <w:rPr>
                <w:b/>
                <w:sz w:val="26"/>
                <w:szCs w:val="26"/>
                <w:lang w:val="da-DK"/>
              </w:rPr>
            </w:pPr>
            <w:r>
              <w:rPr>
                <w:b/>
                <w:sz w:val="26"/>
                <w:szCs w:val="26"/>
                <w:lang w:val="da-DK"/>
              </w:rPr>
              <w:t>TM. BAN KINH TẾ - NGÂN SÁCH</w:t>
            </w:r>
          </w:p>
          <w:p>
            <w:pPr>
              <w:jc w:val="center"/>
              <w:rPr>
                <w:b/>
                <w:sz w:val="26"/>
                <w:szCs w:val="26"/>
                <w:lang w:val="da-DK"/>
              </w:rPr>
            </w:pPr>
            <w:r>
              <w:rPr>
                <w:b/>
                <w:sz w:val="26"/>
                <w:szCs w:val="26"/>
                <w:lang w:val="da-DK"/>
              </w:rPr>
              <w:t>TRƯỞNG BAN</w:t>
            </w:r>
          </w:p>
          <w:p>
            <w:pPr>
              <w:jc w:val="center"/>
              <w:rPr>
                <w:sz w:val="26"/>
                <w:szCs w:val="26"/>
                <w:lang w:val="da-DK"/>
              </w:rPr>
            </w:pPr>
          </w:p>
          <w:p>
            <w:pPr>
              <w:jc w:val="center"/>
              <w:rPr>
                <w:b/>
                <w:sz w:val="26"/>
                <w:szCs w:val="26"/>
                <w:lang w:val="vi-VN"/>
              </w:rPr>
            </w:pPr>
          </w:p>
          <w:p>
            <w:pPr>
              <w:jc w:val="center"/>
              <w:rPr>
                <w:i/>
                <w:sz w:val="26"/>
                <w:szCs w:val="26"/>
                <w:lang w:val="sv-SE"/>
              </w:rPr>
            </w:pPr>
          </w:p>
          <w:p>
            <w:pPr>
              <w:jc w:val="center"/>
              <w:rPr>
                <w:i/>
                <w:color w:val="000000"/>
                <w:lang w:val="nb-NO"/>
              </w:rPr>
            </w:pPr>
          </w:p>
          <w:p>
            <w:pPr>
              <w:jc w:val="center"/>
              <w:rPr>
                <w:i/>
                <w:sz w:val="26"/>
                <w:szCs w:val="26"/>
                <w:lang w:val="sv-SE"/>
              </w:rPr>
            </w:pPr>
          </w:p>
          <w:p>
            <w:pPr>
              <w:jc w:val="center"/>
              <w:rPr>
                <w:b/>
                <w:sz w:val="26"/>
                <w:szCs w:val="26"/>
                <w:lang w:val="vi-VN"/>
              </w:rPr>
            </w:pPr>
          </w:p>
          <w:p>
            <w:pPr>
              <w:jc w:val="center"/>
              <w:rPr>
                <w:b/>
                <w:sz w:val="26"/>
                <w:szCs w:val="26"/>
                <w:lang w:val="da-DK"/>
              </w:rPr>
            </w:pPr>
          </w:p>
          <w:p>
            <w:pPr>
              <w:jc w:val="center"/>
              <w:rPr>
                <w:sz w:val="28"/>
                <w:szCs w:val="28"/>
                <w:lang w:val="es-PR"/>
              </w:rPr>
            </w:pPr>
            <w:r>
              <w:rPr>
                <w:b/>
                <w:sz w:val="26"/>
                <w:szCs w:val="26"/>
                <w:lang w:val="es-PR"/>
              </w:rPr>
              <w:t>Nguyễn Thị Thúy Nga</w:t>
            </w:r>
          </w:p>
        </w:tc>
      </w:tr>
    </w:tbl>
    <w:p>
      <w:pPr>
        <w:rPr>
          <w:sz w:val="2"/>
          <w:szCs w:val="2"/>
          <w:lang w:val="vi-VN"/>
        </w:rPr>
      </w:pPr>
    </w:p>
    <w:sectPr>
      <w:headerReference w:type="default" r:id="rId8"/>
      <w:footerReference w:type="default" r:id="rId9"/>
      <w:pgSz w:w="11907" w:h="16840" w:code="9"/>
      <w:pgMar w:top="1134" w:right="1134" w:bottom="1134" w:left="1701" w:header="709" w:footer="709" w:gutter="0"/>
      <w:cols w:space="708"/>
      <w:titlePg/>
      <w:docGrid w:linePitch="3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3AD7F" w16cid:durableId="26B0B913"/>
  <w16cid:commentId w16cid:paraId="56F446A2" w16cid:durableId="26B0BB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firstLine="720"/>
        <w:jc w:val="both"/>
      </w:pPr>
      <w:r>
        <w:rPr>
          <w:rStyle w:val="FootnoteReference"/>
        </w:rPr>
        <w:footnoteRef/>
      </w:r>
      <w:r>
        <w:t xml:space="preserve"> </w:t>
      </w:r>
      <w:r>
        <w:rPr>
          <w:spacing w:val="-4"/>
          <w:lang w:val="pt-BR"/>
        </w:rPr>
        <w:t>Chỉ thị số 21/CT-TTg ngày 10 tháng 6 năm 2023 của Thủ tướng Chính phủ về xây dựng kế hoạch phát triển kinh tế - xã hội và Dự toán ngân sách nhà nước năm 2024;</w:t>
      </w:r>
      <w:r>
        <w:t xml:space="preserve"> Văn bản số </w:t>
      </w:r>
      <w:r>
        <w:rPr>
          <w:lang w:val="nl-NL"/>
        </w:rPr>
        <w:t>4460/BKHĐT-TH ngày 13/6/2023 của Bộ Kế hoạch và Đầu tư về việc xây dựng kế hoạch đầu tư công năm 2024</w:t>
      </w:r>
    </w:p>
  </w:footnote>
  <w:footnote w:id="2">
    <w:p>
      <w:pPr>
        <w:pStyle w:val="FootnoteText"/>
        <w:ind w:firstLine="720"/>
        <w:jc w:val="both"/>
      </w:pPr>
      <w:r>
        <w:rPr>
          <w:rStyle w:val="FootnoteReference"/>
        </w:rPr>
        <w:footnoteRef/>
      </w:r>
      <w:r>
        <w:t xml:space="preserve"> </w:t>
      </w:r>
      <w:r>
        <w:rPr>
          <w:color w:val="000000"/>
          <w:shd w:val="clear" w:color="auto" w:fill="FFFFFF"/>
        </w:rPr>
        <w:t>Trong đó báo cáo chi tiết: (i) Các nhiệm vụ, dự án thuộc Chương trình phục hồi và phát triển KTXH; (ii) Thanh toán nợ đọng xây dựng cơ bản, thu hồi vốn ứng trước (nếu có) và thanh toán cho dự án đã hoàn thành và bàn giao đưa vào sử dụng trước ngày 31 tháng 12 năm 2022; (iii) Các dự án đã được cấp có thẩm quyền cho phép kéo dài thời gian thực hiện và giải ngân kế hoạch đầu tư vốn NSNN năm 2022 sang năm 2023 (nếu có); (iv) Các dự án chuyển tiếp phải bố trí đủ vốn để hoàn thành trong năm 2023; dự án chuyển tiếp theo tiến độ được duyệt; dự án quan trọng quốc gia, dự án trọng điểm, dự án đường cao tốc, dự án kết nối, có tác động liên vùng có ý nghĩa thúc đẩy phát triển KTXH nhanh, bền vững.</w:t>
      </w:r>
    </w:p>
  </w:footnote>
  <w:footnote w:id="3">
    <w:p>
      <w:pPr>
        <w:pStyle w:val="FootnoteText"/>
        <w:ind w:firstLine="720"/>
        <w:jc w:val="both"/>
      </w:pPr>
      <w:r>
        <w:rPr>
          <w:rStyle w:val="FootnoteReference"/>
        </w:rPr>
        <w:footnoteRef/>
      </w:r>
      <w:r>
        <w:t xml:space="preserve"> Dự án sửa chữa hệ thống cấp nước sinh hoạt xã Hương Liên, huyện Hương Khê; Mở rộng mạng lưới cấp nước nhà máy nước Nghi Xuân cấp cho xã Xuân Hải, huyện Nghi Xuân; Mở rộng mạng lưới cấp nước nhà máy nước Nghi Xuân cấp cho xã Xuân Phổ,  huyện Nghi Xuân; Dự án thành phần Sửa chữa và nâng cao an toàn đập, tỉnh Hà tĩnh (WB8); Dự án Cung cấp thiết bị y tế cho Bệnh viện Đa khoa huyện Đức Thọ, tỉnh Hà Tĩnh sử dụng vốn vay của Chính phủ Hàn Quốc; Bồi thường, GPMB, hỗ trợ và tái định cư Dự án trọng điểm quốc gia "Khu liên hợp gang và cảng Sơn Dương", tại khu kinh tế Vũng Áng; Dự án Cải tạo, nâng cấp Quốc lộ 8C đoạn Thiên Cầm - Quốc lộ 1 và đoạn từ Quốc lộ 8 đến đường Hồ Chí Minh, tỉnh Hà Tĩnh; Dự án "tăng cường quản lý đất đai và cơ sở dữ liệu quản lý đất đai tỉnh Hà Tĩnh"; Thay thế nguồn cấp nước cho Hệ thống cấp nước sinh hoạt xã Thạch Sơn, huyện Thạch Hà; Dự án đầu tư xây dựng mở rộng Hệ thống cấp nước sinh hoạt Bắc Cẩm Xuyên cấp cho xã Cẩm Mỹ, huyện Cẩm Xuyên (GĐ3); Dự án đầu tư xây dựng mở rộng Hệ thống cấp nước sinh hoạt Bắc Cẩm Xuyên cấp cho xã Cẩm Quang (GĐ2); Dự án đầu tư xây dựng mở rộng Hệ thống cấp nước sinh hoạt Thiên Lộc cấp cho xã Vượng Lộc, huyện Can Lộc (GĐ2); Đường giao thông bảo vệ an ninh biên giới, kết hợp bảo vệ phát triển thác Vũ Môn và phát triển Vùng huyện Hương Khê Giai đoạn I; Nhà máy nước và hệ thống nước sạch cho nhân dân thị trấn Hương Khê và 8 xã Vùng phụ cận thuộc huyện Hương Khê; Trung tâm văn hóa truyền thông huyện Kỳ Anh; Dự án cải tạo mặt đường, chỉnh trang hạ tầng kỹ thuật đường Quang Trung đoạn từ đường Nguyễn Huy Lung đến cầu Hộ Độ và bổ sung 01 đơn nguyên cầu Hộ Độ; Hạ tầng khu du lịch biển Xuân Thành, huyện Nghi Xuân; Đường trục dọc Khu đô thị trung tâm thị xã Kỳ Anh; Dự án rà soát, điều chỉnh Quy hoạch tổng thể phát triển kinh tế - xã hội đến năm 2020, lập Quy hoạch tỉnh giai đoạn 2021-2030, tầm nhìn đến năm 2050</w:t>
      </w:r>
    </w:p>
  </w:footnote>
  <w:footnote w:id="4">
    <w:p>
      <w:pPr>
        <w:pStyle w:val="FootnoteText"/>
        <w:ind w:firstLine="720"/>
        <w:jc w:val="both"/>
      </w:pPr>
      <w:r>
        <w:rPr>
          <w:rStyle w:val="FootnoteReference"/>
        </w:rPr>
        <w:footnoteRef/>
      </w:r>
      <w:r>
        <w:t xml:space="preserve"> Ban quản lý dự án đầu tư xây dựng công trình dân dụng và công nghiệp tỉnh đạt 14%; Ban quản lý dự án đầu tư xây dựng công trình nông nghiệp và phát triển nông thôn tỉnh Hà Tĩnh đạt 20%; UBND huyện Hương Khê đạt 20%; UBND huyện Kỳ Anh đạt 22%; UBND huyện Lộc Hà đạt 14%; UBND huyện Nghi Xuân đạt 22%; UBND thành phố Hà Tĩnh đạt 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44635"/>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revisionView w:inkAnnotations="0"/>
  <w:defaultTabStop w:val="720"/>
  <w:drawingGridHorizontalSpacing w:val="14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rPr>
      <w:sz w:val="28"/>
      <w:szCs w:val="28"/>
    </w:r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rPr>
      <w:sz w:val="28"/>
      <w:szCs w:val="28"/>
    </w:r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rPr>
      <w:sz w:val="28"/>
      <w:szCs w:val="28"/>
    </w:r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pPr>
      <w:spacing w:after="12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Pr>
      <w:rFonts w:ascii="Calibri" w:eastAsia="Calibri" w:hAnsi="Calibri"/>
      <w:b/>
      <w:bCs/>
      <w:sz w:val="20"/>
      <w:szCs w:val="20"/>
      <w:lang w:val="vi-VN" w:eastAsia="vi-VN"/>
    </w:rPr>
  </w:style>
  <w:style w:type="paragraph" w:customStyle="1" w:styleId="Macdinh">
    <w:name w:val="Mac dinh"/>
    <w:basedOn w:val="Normal"/>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rPr>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sz w:val="28"/>
      <w:szCs w:val="28"/>
      <w:vertAlign w:val="superscript"/>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3131">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7376426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53631239">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97878713">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84FB-5468-4F8B-BAE8-E6EA69D1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
  <cp:lastModifiedBy/>
  <cp:revision>1</cp:revision>
  <dcterms:created xsi:type="dcterms:W3CDTF">2023-07-04T01:46:00Z</dcterms:created>
  <dcterms:modified xsi:type="dcterms:W3CDTF">2023-07-11T14:29:00Z</dcterms:modified>
</cp:coreProperties>
</file>